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5F3342">
      <w:pPr>
        <w:pStyle w:val="36"/>
        <w:jc w:val="center"/>
        <w:rPr>
          <w:color w:val="auto"/>
        </w:rPr>
      </w:pPr>
      <w:r>
        <w:rPr>
          <w:color w:val="auto"/>
        </w:rPr>
        <w:t>Demand Forecasting &amp; Inventory Optimization System</w:t>
      </w:r>
    </w:p>
    <w:p w14:paraId="1D2A137F">
      <w:pPr>
        <w:jc w:val="center"/>
        <w:rPr>
          <w:color w:val="auto"/>
        </w:rPr>
      </w:pPr>
      <w:r>
        <w:rPr>
          <w:b/>
          <w:color w:val="auto"/>
          <w:sz w:val="24"/>
        </w:rPr>
        <w:t>Technical Project Documentation</w:t>
      </w:r>
    </w:p>
    <w:p w14:paraId="4B34A65D">
      <w:pPr>
        <w:jc w:val="center"/>
        <w:rPr>
          <w:color w:val="auto"/>
        </w:rPr>
      </w:pPr>
      <w:r>
        <w:rPr>
          <w:i/>
          <w:color w:val="auto"/>
        </w:rPr>
        <w:t>M5 Retail Sales Dataset | LightGBM | Inventory Policy Simulation</w:t>
      </w:r>
    </w:p>
    <w:p w14:paraId="4D47C57E">
      <w:pPr>
        <w:pStyle w:val="2"/>
        <w:rPr>
          <w:color w:val="auto"/>
        </w:rPr>
      </w:pPr>
      <w:r>
        <w:rPr>
          <w:color w:val="auto"/>
        </w:rPr>
        <w:t>1. Executive Summary</w:t>
      </w:r>
    </w:p>
    <w:p w14:paraId="614B1B60">
      <w:pPr>
        <w:rPr>
          <w:color w:val="auto"/>
        </w:rPr>
      </w:pPr>
      <w:r>
        <w:rPr>
          <w:color w:val="auto"/>
        </w:rPr>
        <w:t>This project develops an ML-based demand forecasting and inventory optimization system using the M5 retail sales dataset. The system learns demand patterns from historical product-store sales together with calendar, event, price, product, and store information. A LightGBM regression model forecasts daily unit demand, while a separate inventory policy uses forecast uncertainty to calculate safety stock and reorder points. The policy is then backtested through an inventory replenishment simulation using historical validation demand.</w:t>
      </w:r>
    </w:p>
    <w:p w14:paraId="0D934F13">
      <w:pPr>
        <w:rPr>
          <w:color w:val="auto"/>
        </w:rPr>
      </w:pPr>
      <w:r>
        <w:rPr>
          <w:color w:val="auto"/>
        </w:rPr>
        <w:t>The project was designed around a large, high-dimensional retail dataset rather than a small demonstration dataset. The sales table contains 30,490 product-store series and 1,913 daily sales observations, producing tens of millions of daily product-store observations after reshaping. The workflow therefore includes memory-conscious preprocessing and feature engineering appropriate for constrained local hardware.</w:t>
      </w:r>
    </w:p>
    <w:p w14:paraId="62995D9F">
      <w:pPr>
        <w:pStyle w:val="2"/>
        <w:rPr>
          <w:color w:val="auto"/>
        </w:rPr>
      </w:pPr>
      <w:r>
        <w:rPr>
          <w:color w:val="auto"/>
        </w:rPr>
        <w:t>2. Problem Statement</w:t>
      </w:r>
    </w:p>
    <w:p w14:paraId="62C8BF44">
      <w:pPr>
        <w:rPr>
          <w:color w:val="auto"/>
        </w:rPr>
      </w:pPr>
      <w:r>
        <w:rPr>
          <w:color w:val="auto"/>
        </w:rPr>
        <w:t>Retailers must maintain enough inventory to satisfy demand without holding unnecessarily large quantities of stock. Historical sales can be used to estimate demand, but forecast error creates uncertainty. A useful inventory system therefore needs to connect demand forecasting with an explicit replenishment policy.</w:t>
      </w:r>
    </w:p>
    <w:p w14:paraId="068DA745">
      <w:pPr>
        <w:rPr>
          <w:color w:val="auto"/>
        </w:rPr>
      </w:pPr>
      <w:r>
        <w:rPr>
          <w:color w:val="auto"/>
        </w:rPr>
        <w:t>The project addresses this problem by building a demand forecasting model and using its predictions and forecast uncertainty to estimate expected lead-time demand, safety stock, reorder points, and replenishment quantities.</w:t>
      </w:r>
    </w:p>
    <w:p w14:paraId="77903BEB">
      <w:pPr>
        <w:pStyle w:val="2"/>
        <w:rPr>
          <w:color w:val="auto"/>
        </w:rPr>
      </w:pPr>
      <w:r>
        <w:rPr>
          <w:color w:val="auto"/>
        </w:rPr>
        <w:t>3. Objectives</w:t>
      </w:r>
    </w:p>
    <w:p w14:paraId="3D283F8B">
      <w:pPr>
        <w:pStyle w:val="23"/>
        <w:rPr>
          <w:color w:val="auto"/>
        </w:rPr>
      </w:pPr>
      <w:r>
        <w:rPr>
          <w:color w:val="auto"/>
        </w:rPr>
        <w:t>Prepare and analyze a large retail sales dataset containing product-store daily demand.</w:t>
      </w:r>
    </w:p>
    <w:p w14:paraId="5773AFD9">
      <w:pPr>
        <w:pStyle w:val="23"/>
        <w:rPr>
          <w:color w:val="auto"/>
        </w:rPr>
      </w:pPr>
      <w:r>
        <w:rPr>
          <w:color w:val="auto"/>
        </w:rPr>
        <w:t>Perform exploratory analysis to identify important temporal, product, store, category, and price patterns.</w:t>
      </w:r>
    </w:p>
    <w:p w14:paraId="52B216FC">
      <w:pPr>
        <w:pStyle w:val="23"/>
        <w:rPr>
          <w:color w:val="auto"/>
        </w:rPr>
      </w:pPr>
      <w:r>
        <w:rPr>
          <w:color w:val="auto"/>
        </w:rPr>
        <w:t>Engineer lag, rolling, calendar, price, event, and categorical features for machine learning.</w:t>
      </w:r>
    </w:p>
    <w:p w14:paraId="0ACE2CD6">
      <w:pPr>
        <w:pStyle w:val="23"/>
        <w:rPr>
          <w:color w:val="auto"/>
        </w:rPr>
      </w:pPr>
      <w:r>
        <w:rPr>
          <w:color w:val="auto"/>
        </w:rPr>
        <w:t>Develop a LightGBM regression model for daily demand forecasting.</w:t>
      </w:r>
    </w:p>
    <w:p w14:paraId="11792C65">
      <w:pPr>
        <w:pStyle w:val="23"/>
        <w:rPr>
          <w:color w:val="auto"/>
        </w:rPr>
      </w:pPr>
      <w:r>
        <w:rPr>
          <w:color w:val="auto"/>
        </w:rPr>
        <w:t>Evaluate the model against a simple lag-based baseline.</w:t>
      </w:r>
    </w:p>
    <w:p w14:paraId="68717F92">
      <w:pPr>
        <w:pStyle w:val="23"/>
        <w:rPr>
          <w:color w:val="auto"/>
        </w:rPr>
      </w:pPr>
      <w:r>
        <w:rPr>
          <w:color w:val="auto"/>
        </w:rPr>
        <w:t>Translate forecast output and forecast uncertainty into an inventory replenishment policy.</w:t>
      </w:r>
    </w:p>
    <w:p w14:paraId="1DB79313">
      <w:pPr>
        <w:pStyle w:val="23"/>
        <w:rPr>
          <w:color w:val="auto"/>
        </w:rPr>
      </w:pPr>
      <w:r>
        <w:rPr>
          <w:color w:val="auto"/>
        </w:rPr>
        <w:t>Backtest the policy on historical validation demand using a seven-day lead time.</w:t>
      </w:r>
    </w:p>
    <w:p w14:paraId="5E0EA871">
      <w:pPr>
        <w:pStyle w:val="23"/>
        <w:rPr>
          <w:color w:val="auto"/>
        </w:rPr>
      </w:pPr>
      <w:r>
        <w:rPr>
          <w:color w:val="auto"/>
        </w:rPr>
        <w:t>Provide an interactive presentation layer that communicates the forecast-to-replenishment workflow without requiring the ML model to run in the browser.</w:t>
      </w:r>
    </w:p>
    <w:p w14:paraId="584127FA">
      <w:pPr>
        <w:pStyle w:val="2"/>
        <w:rPr>
          <w:color w:val="auto"/>
        </w:rPr>
      </w:pPr>
      <w:r>
        <w:rPr>
          <w:color w:val="auto"/>
        </w:rPr>
        <w:t>4. Dataset and Scale</w:t>
      </w:r>
    </w:p>
    <w:p w14:paraId="442291C0">
      <w:pPr>
        <w:rPr>
          <w:color w:val="auto"/>
        </w:rPr>
      </w:pPr>
      <w:r>
        <w:rPr>
          <w:color w:val="auto"/>
        </w:rPr>
        <w:t>The project uses the M5 retail sales data, combining historical sales, calendar information, and selling prices.</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12"/>
        <w:gridCol w:w="3312"/>
        <w:gridCol w:w="3312"/>
      </w:tblGrid>
      <w:tr w14:paraId="185969E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70AEBFD6">
            <w:pPr>
              <w:spacing w:after="0" w:line="240" w:lineRule="auto"/>
              <w:rPr>
                <w:color w:val="auto"/>
              </w:rPr>
            </w:pPr>
            <w:r>
              <w:rPr>
                <w:color w:val="auto"/>
              </w:rPr>
              <w:t>Dataset</w:t>
            </w:r>
          </w:p>
        </w:tc>
        <w:tc>
          <w:tcPr>
            <w:tcW w:w="3312" w:type="dxa"/>
          </w:tcPr>
          <w:p w14:paraId="3E01532D">
            <w:pPr>
              <w:spacing w:after="0" w:line="240" w:lineRule="auto"/>
              <w:rPr>
                <w:color w:val="auto"/>
              </w:rPr>
            </w:pPr>
            <w:r>
              <w:rPr>
                <w:color w:val="auto"/>
              </w:rPr>
              <w:t>Size / Coverage</w:t>
            </w:r>
          </w:p>
        </w:tc>
        <w:tc>
          <w:tcPr>
            <w:tcW w:w="3312" w:type="dxa"/>
          </w:tcPr>
          <w:p w14:paraId="3ADE5532">
            <w:pPr>
              <w:spacing w:after="0" w:line="240" w:lineRule="auto"/>
              <w:rPr>
                <w:color w:val="auto"/>
              </w:rPr>
            </w:pPr>
            <w:r>
              <w:rPr>
                <w:color w:val="auto"/>
              </w:rPr>
              <w:t>Purpose</w:t>
            </w:r>
          </w:p>
        </w:tc>
      </w:tr>
      <w:tr w14:paraId="7FAB3F9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464B0548">
            <w:pPr>
              <w:spacing w:after="0" w:line="240" w:lineRule="auto"/>
              <w:rPr>
                <w:color w:val="auto"/>
              </w:rPr>
            </w:pPr>
            <w:r>
              <w:rPr>
                <w:color w:val="auto"/>
              </w:rPr>
              <w:t>calendar.csv</w:t>
            </w:r>
          </w:p>
        </w:tc>
        <w:tc>
          <w:tcPr>
            <w:tcW w:w="3312" w:type="dxa"/>
          </w:tcPr>
          <w:p w14:paraId="0B1ED7CE">
            <w:pPr>
              <w:spacing w:after="0" w:line="240" w:lineRule="auto"/>
              <w:rPr>
                <w:color w:val="auto"/>
              </w:rPr>
            </w:pPr>
            <w:r>
              <w:rPr>
                <w:color w:val="auto"/>
              </w:rPr>
              <w:t>1,969 rows; 2011-01-29 to 2016-06-19</w:t>
            </w:r>
          </w:p>
        </w:tc>
        <w:tc>
          <w:tcPr>
            <w:tcW w:w="3312" w:type="dxa"/>
          </w:tcPr>
          <w:p w14:paraId="601364D8">
            <w:pPr>
              <w:spacing w:after="0" w:line="240" w:lineRule="auto"/>
              <w:rPr>
                <w:color w:val="auto"/>
              </w:rPr>
            </w:pPr>
            <w:r>
              <w:rPr>
                <w:color w:val="auto"/>
              </w:rPr>
              <w:t>Dates, weeks, events, SNAP indicators</w:t>
            </w:r>
          </w:p>
        </w:tc>
      </w:tr>
      <w:tr w14:paraId="6AA09AD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16605D0C">
            <w:pPr>
              <w:spacing w:after="0" w:line="240" w:lineRule="auto"/>
              <w:rPr>
                <w:color w:val="auto"/>
              </w:rPr>
            </w:pPr>
            <w:r>
              <w:rPr>
                <w:color w:val="auto"/>
              </w:rPr>
              <w:t>sales_train_validation.csv</w:t>
            </w:r>
          </w:p>
        </w:tc>
        <w:tc>
          <w:tcPr>
            <w:tcW w:w="3312" w:type="dxa"/>
          </w:tcPr>
          <w:p w14:paraId="045A0CB0">
            <w:pPr>
              <w:spacing w:after="0" w:line="240" w:lineRule="auto"/>
              <w:rPr>
                <w:color w:val="auto"/>
              </w:rPr>
            </w:pPr>
            <w:r>
              <w:rPr>
                <w:color w:val="auto"/>
              </w:rPr>
              <w:t>30,490 rows × 1,919 columns</w:t>
            </w:r>
          </w:p>
        </w:tc>
        <w:tc>
          <w:tcPr>
            <w:tcW w:w="3312" w:type="dxa"/>
          </w:tcPr>
          <w:p w14:paraId="35B52545">
            <w:pPr>
              <w:spacing w:after="0" w:line="240" w:lineRule="auto"/>
              <w:rPr>
                <w:color w:val="auto"/>
              </w:rPr>
            </w:pPr>
            <w:r>
              <w:rPr>
                <w:color w:val="auto"/>
              </w:rPr>
              <w:t>Historical product-store daily unit sales</w:t>
            </w:r>
          </w:p>
        </w:tc>
      </w:tr>
      <w:tr w14:paraId="24F2A68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7B7F0D97">
            <w:pPr>
              <w:spacing w:after="0" w:line="240" w:lineRule="auto"/>
              <w:rPr>
                <w:color w:val="auto"/>
              </w:rPr>
            </w:pPr>
            <w:r>
              <w:rPr>
                <w:color w:val="auto"/>
              </w:rPr>
              <w:t>sell_prices.csv</w:t>
            </w:r>
          </w:p>
        </w:tc>
        <w:tc>
          <w:tcPr>
            <w:tcW w:w="3312" w:type="dxa"/>
          </w:tcPr>
          <w:p w14:paraId="04BCA28E">
            <w:pPr>
              <w:spacing w:after="0" w:line="240" w:lineRule="auto"/>
              <w:rPr>
                <w:color w:val="auto"/>
              </w:rPr>
            </w:pPr>
            <w:r>
              <w:rPr>
                <w:color w:val="auto"/>
              </w:rPr>
              <w:t>6,841,121 rows × 4 columns</w:t>
            </w:r>
          </w:p>
        </w:tc>
        <w:tc>
          <w:tcPr>
            <w:tcW w:w="3312" w:type="dxa"/>
          </w:tcPr>
          <w:p w14:paraId="2A578C8A">
            <w:pPr>
              <w:spacing w:after="0" w:line="240" w:lineRule="auto"/>
              <w:rPr>
                <w:color w:val="auto"/>
              </w:rPr>
            </w:pPr>
            <w:r>
              <w:rPr>
                <w:color w:val="auto"/>
              </w:rPr>
              <w:t>Weekly product-store selling prices</w:t>
            </w:r>
          </w:p>
        </w:tc>
      </w:tr>
    </w:tbl>
    <w:p w14:paraId="120C5849">
      <w:pPr>
        <w:rPr>
          <w:color w:val="auto"/>
        </w:rPr>
      </w:pPr>
      <w:r>
        <w:rPr>
          <w:color w:val="auto"/>
        </w:rPr>
        <w:t>The sales data represents 3,049 products across 10 stores, 3 states, 7 departments, and 3 categories. The historical sales portion contains 1,913 daily observations. After reshaping the wide sales table into daily product-store observations and adding features, the modeling dataset contained approximately 57.5 million rows before the final train/validation partition.</w:t>
      </w:r>
    </w:p>
    <w:p w14:paraId="1DEA899E">
      <w:pPr>
        <w:rPr>
          <w:color w:val="auto"/>
        </w:rPr>
      </w:pPr>
      <w:r>
        <w:rPr>
          <w:color w:val="auto"/>
        </w:rPr>
        <w:t>Approximately 68.2% of product-store-day observations contain zero unit sales, making demand forecasting a sparse and intermittent-demand problem.</w:t>
      </w:r>
    </w:p>
    <w:p w14:paraId="0481C4D4">
      <w:pPr>
        <w:pStyle w:val="2"/>
        <w:rPr>
          <w:color w:val="auto"/>
        </w:rPr>
      </w:pPr>
      <w:r>
        <w:rPr>
          <w:color w:val="auto"/>
        </w:rPr>
        <w:t>5. Exploratory Data Analysis</w:t>
      </w:r>
    </w:p>
    <w:p w14:paraId="3C117308">
      <w:pPr>
        <w:rPr>
          <w:color w:val="auto"/>
        </w:rPr>
      </w:pPr>
      <w:r>
        <w:rPr>
          <w:color w:val="auto"/>
        </w:rPr>
        <w:t>Exploratory analysis was performed before model development to understand demand concentration, temporal behavior, store differences, product and department structure, and price-related behavior.</w:t>
      </w:r>
    </w:p>
    <w:p w14:paraId="42550B80">
      <w:pPr>
        <w:pStyle w:val="23"/>
        <w:rPr>
          <w:color w:val="auto"/>
        </w:rPr>
      </w:pPr>
      <w:r>
        <w:rPr>
          <w:color w:val="auto"/>
        </w:rPr>
        <w:t>Department and category demand: FOODS_3 accounted for approximately 32.37 million units, or 49.28% of observed units. HOUSEHOLD_1 followed with approximately 11.50 million units, or 17.51%.</w:t>
      </w:r>
    </w:p>
    <w:p w14:paraId="6BD4B025">
      <w:pPr>
        <w:pStyle w:val="23"/>
        <w:rPr>
          <w:color w:val="auto"/>
        </w:rPr>
      </w:pPr>
      <w:r>
        <w:rPr>
          <w:color w:val="auto"/>
        </w:rPr>
        <w:t>Product concentration: FOODS_3_090 was the highest-volume item, with approximately 1.00 million units across the observed history.</w:t>
      </w:r>
    </w:p>
    <w:p w14:paraId="6B27B121">
      <w:pPr>
        <w:pStyle w:val="23"/>
        <w:rPr>
          <w:color w:val="auto"/>
        </w:rPr>
      </w:pPr>
      <w:r>
        <w:rPr>
          <w:color w:val="auto"/>
        </w:rPr>
        <w:t>Store differences: CA_3 recorded approximately 11.19 million units, while CA_4 recorded approximately 4.10 million units.</w:t>
      </w:r>
    </w:p>
    <w:p w14:paraId="1BE60C39">
      <w:pPr>
        <w:pStyle w:val="23"/>
        <w:rPr>
          <w:color w:val="auto"/>
        </w:rPr>
      </w:pPr>
      <w:r>
        <w:rPr>
          <w:color w:val="auto"/>
        </w:rPr>
        <w:t>Yearly demand: 2012 recorded approximately 12.06 million units. Demand increased in 2013, dipped slightly in 2014, and increased again in 2015 to approximately 13.80 million units.</w:t>
      </w:r>
    </w:p>
    <w:p w14:paraId="42557358">
      <w:pPr>
        <w:pStyle w:val="23"/>
        <w:rPr>
          <w:color w:val="auto"/>
        </w:rPr>
      </w:pPr>
      <w:r>
        <w:rPr>
          <w:color w:val="auto"/>
        </w:rPr>
        <w:t>Monthly seasonality: August had the highest average monthly demand at approximately 1.11 million units, while January was the lowest at approximately 0.89 million.</w:t>
      </w:r>
    </w:p>
    <w:p w14:paraId="13AADEEA">
      <w:pPr>
        <w:pStyle w:val="23"/>
        <w:rPr>
          <w:color w:val="auto"/>
        </w:rPr>
      </w:pPr>
      <w:r>
        <w:rPr>
          <w:color w:val="auto"/>
        </w:rPr>
        <w:t>Daily demand: mean demand was approximately 34,342 units per day, median approximately 33,732, and standard deviation approximately 7,346.</w:t>
      </w:r>
    </w:p>
    <w:p w14:paraId="5F1791DF">
      <w:pPr>
        <w:pStyle w:val="23"/>
        <w:rPr>
          <w:color w:val="auto"/>
        </w:rPr>
      </w:pPr>
      <w:r>
        <w:rPr>
          <w:color w:val="auto"/>
        </w:rPr>
        <w:t>Demand sparsity: a large proportion of observations were zero-sales days.</w:t>
      </w:r>
    </w:p>
    <w:p w14:paraId="224FCFEB">
      <w:pPr>
        <w:pStyle w:val="23"/>
        <w:rPr>
          <w:color w:val="auto"/>
        </w:rPr>
      </w:pPr>
      <w:r>
        <w:rPr>
          <w:color w:val="auto"/>
        </w:rPr>
        <w:t>Price-demand analysis: weekly aggregation was used to examine within-product-store relationships between selling price and unit demand. Relationships varied across product-store pairs rather than producing one universal price-demand relationship.</w:t>
      </w:r>
    </w:p>
    <w:p w14:paraId="5558CB29">
      <w:pPr>
        <w:rPr>
          <w:color w:val="auto"/>
        </w:rPr>
      </w:pPr>
      <w:r>
        <w:rPr>
          <w:color w:val="auto"/>
        </w:rPr>
        <w:t>The EDA was used to guide feature engineering and model design rather than extend exploration unnecessarily. The workflow moved from diagnosis to preprocessing and predictive modeling once the major demand patterns and data-quality characteristics were established.</w:t>
      </w:r>
    </w:p>
    <w:p w14:paraId="6A419439">
      <w:pPr>
        <w:pStyle w:val="2"/>
        <w:rPr>
          <w:color w:val="auto"/>
        </w:rPr>
      </w:pPr>
      <w:r>
        <w:rPr>
          <w:color w:val="auto"/>
        </w:rPr>
        <w:t>6. Data Preprocessing and Feature Engineering</w:t>
      </w:r>
    </w:p>
    <w:p w14:paraId="3E24CC51">
      <w:pPr>
        <w:rPr>
          <w:color w:val="auto"/>
        </w:rPr>
      </w:pPr>
      <w:r>
        <w:rPr>
          <w:color w:val="auto"/>
        </w:rPr>
        <w:t>The wide sales table was reshaped so each row represented a product-store-day observation. Calendar variables were joined using the M5 day identifier and selling prices were merged using store, item, and week identifiers.</w:t>
      </w:r>
    </w:p>
    <w:p w14:paraId="17376ACC">
      <w:pPr>
        <w:pStyle w:val="23"/>
        <w:rPr>
          <w:color w:val="auto"/>
        </w:rPr>
      </w:pPr>
      <w:r>
        <w:rPr>
          <w:color w:val="auto"/>
        </w:rPr>
        <w:t>Filled missing event names with 'No Event'.</w:t>
      </w:r>
    </w:p>
    <w:p w14:paraId="71B02806">
      <w:pPr>
        <w:pStyle w:val="23"/>
        <w:rPr>
          <w:color w:val="auto"/>
        </w:rPr>
      </w:pPr>
      <w:r>
        <w:rPr>
          <w:color w:val="auto"/>
        </w:rPr>
        <w:t>Converted calendar dates to datetime and derived day of week, month, year, and week of year.</w:t>
      </w:r>
    </w:p>
    <w:p w14:paraId="0056569A">
      <w:pPr>
        <w:pStyle w:val="23"/>
        <w:rPr>
          <w:color w:val="auto"/>
        </w:rPr>
      </w:pPr>
      <w:r>
        <w:rPr>
          <w:color w:val="auto"/>
        </w:rPr>
        <w:t>Reshaped daily sales into item_id, store_id, day, and units_sold.</w:t>
      </w:r>
    </w:p>
    <w:p w14:paraId="7DA38175">
      <w:pPr>
        <w:pStyle w:val="23"/>
        <w:rPr>
          <w:color w:val="auto"/>
        </w:rPr>
      </w:pPr>
      <w:r>
        <w:rPr>
          <w:color w:val="auto"/>
        </w:rPr>
        <w:t>Merged calendar and selling-price information.</w:t>
      </w:r>
    </w:p>
    <w:p w14:paraId="48E311D7">
      <w:pPr>
        <w:pStyle w:val="23"/>
        <w:rPr>
          <w:color w:val="auto"/>
        </w:rPr>
      </w:pPr>
      <w:r>
        <w:rPr>
          <w:color w:val="auto"/>
        </w:rPr>
        <w:t>Created a price_missing indicator and imputed missing prices using the product-store median.</w:t>
      </w:r>
    </w:p>
    <w:p w14:paraId="26134520">
      <w:pPr>
        <w:pStyle w:val="23"/>
        <w:rPr>
          <w:color w:val="auto"/>
        </w:rPr>
      </w:pPr>
      <w:r>
        <w:rPr>
          <w:color w:val="auto"/>
        </w:rPr>
        <w:t>Added department, category, and state identifiers.</w:t>
      </w:r>
    </w:p>
    <w:p w14:paraId="2D139E7F">
      <w:pPr>
        <w:pStyle w:val="23"/>
        <w:rPr>
          <w:color w:val="auto"/>
        </w:rPr>
      </w:pPr>
      <w:r>
        <w:rPr>
          <w:color w:val="auto"/>
        </w:rPr>
        <w:t>Created 1-day, 7-day, and 28-day lag features.</w:t>
      </w:r>
    </w:p>
    <w:p w14:paraId="06E63255">
      <w:pPr>
        <w:pStyle w:val="23"/>
        <w:rPr>
          <w:color w:val="auto"/>
        </w:rPr>
      </w:pPr>
      <w:r>
        <w:rPr>
          <w:color w:val="auto"/>
        </w:rPr>
        <w:t>Created 7-day and 28-day rolling demand features.</w:t>
      </w:r>
    </w:p>
    <w:p w14:paraId="09689B51">
      <w:pPr>
        <w:pStyle w:val="23"/>
        <w:rPr>
          <w:color w:val="auto"/>
        </w:rPr>
      </w:pPr>
      <w:r>
        <w:rPr>
          <w:color w:val="auto"/>
        </w:rPr>
        <w:t>Created previous_price and price_change features.</w:t>
      </w:r>
    </w:p>
    <w:p w14:paraId="15811BF3">
      <w:pPr>
        <w:pStyle w:val="23"/>
        <w:rPr>
          <w:color w:val="auto"/>
        </w:rPr>
      </w:pPr>
      <w:r>
        <w:rPr>
          <w:color w:val="auto"/>
        </w:rPr>
        <w:t>Added event and weekend indicators.</w:t>
      </w:r>
    </w:p>
    <w:p w14:paraId="0F6D998F">
      <w:pPr>
        <w:pStyle w:val="23"/>
        <w:rPr>
          <w:color w:val="auto"/>
        </w:rPr>
      </w:pPr>
      <w:r>
        <w:rPr>
          <w:color w:val="auto"/>
        </w:rPr>
        <w:t>Converted categorical identifiers to categorical dtype.</w:t>
      </w:r>
    </w:p>
    <w:p w14:paraId="3E57006B">
      <w:pPr>
        <w:pStyle w:val="23"/>
        <w:rPr>
          <w:color w:val="auto"/>
        </w:rPr>
      </w:pPr>
      <w:r>
        <w:rPr>
          <w:color w:val="auto"/>
        </w:rPr>
        <w:t>Removed rows without sufficient historical information for lag and rolling features.</w:t>
      </w:r>
    </w:p>
    <w:p w14:paraId="0177AF15">
      <w:pPr>
        <w:rPr>
          <w:color w:val="auto"/>
        </w:rPr>
      </w:pPr>
      <w:r>
        <w:rPr>
          <w:color w:val="auto"/>
        </w:rPr>
        <w:t>Additional 14-day and 56-day lag experiments were tested but not adopted because expanded feature construction caused a multi-gigabyte memory allocation failure on the available 16 GB RAM machine.</w:t>
      </w:r>
    </w:p>
    <w:p w14:paraId="4EC068A7">
      <w:pPr>
        <w:pStyle w:val="2"/>
        <w:rPr>
          <w:color w:val="auto"/>
        </w:rPr>
      </w:pPr>
      <w:r>
        <w:rPr>
          <w:color w:val="auto"/>
        </w:rPr>
        <w:t>7. Modeling Approach</w:t>
      </w:r>
    </w:p>
    <w:p w14:paraId="712EB2B3">
      <w:pPr>
        <w:pStyle w:val="3"/>
        <w:rPr>
          <w:color w:val="auto"/>
        </w:rPr>
      </w:pPr>
      <w:r>
        <w:rPr>
          <w:color w:val="auto"/>
        </w:rPr>
        <w:t>7.1 Target</w:t>
      </w:r>
    </w:p>
    <w:p w14:paraId="14CDDF6F">
      <w:pPr>
        <w:rPr>
          <w:color w:val="auto"/>
        </w:rPr>
      </w:pPr>
      <w:r>
        <w:rPr>
          <w:color w:val="auto"/>
        </w:rPr>
        <w:t>The prediction target is units_sold, representing daily unit demand for each product-store series.</w:t>
      </w:r>
    </w:p>
    <w:p w14:paraId="06FB8B75">
      <w:pPr>
        <w:pStyle w:val="3"/>
        <w:rPr>
          <w:color w:val="auto"/>
        </w:rPr>
      </w:pPr>
      <w:r>
        <w:rPr>
          <w:color w:val="auto"/>
        </w:rPr>
        <w:t>7.2 Model Features</w:t>
      </w:r>
    </w:p>
    <w:p w14:paraId="732BB086">
      <w:pPr>
        <w:rPr>
          <w:color w:val="auto"/>
        </w:rPr>
      </w:pPr>
      <w:r>
        <w:rPr>
          <w:color w:val="auto"/>
        </w:rPr>
        <w:t>The final model uses 22 input features:</w:t>
      </w:r>
    </w:p>
    <w:p w14:paraId="2E31C7E2">
      <w:pPr>
        <w:rPr>
          <w:color w:val="auto"/>
        </w:rPr>
      </w:pPr>
      <w:r>
        <w:rPr>
          <w:color w:val="auto"/>
        </w:rPr>
        <w:t>item_id, store_id, dept_id, cat_id, state_id, sell_price, price_missing, price_change, day_of_week, month, year, week_of_year, is_event, is_weekend, snap_CA, snap_TX, snap_WI, lag_1, lag_7, lag_28, rolling_7, rolling_28</w:t>
      </w:r>
    </w:p>
    <w:p w14:paraId="1CD7201E">
      <w:pPr>
        <w:pStyle w:val="3"/>
        <w:rPr>
          <w:color w:val="auto"/>
        </w:rPr>
      </w:pPr>
      <w:r>
        <w:rPr>
          <w:color w:val="auto"/>
        </w:rPr>
        <w:t>7.3 Model</w:t>
      </w:r>
    </w:p>
    <w:p w14:paraId="5FAB0D65">
      <w:pPr>
        <w:rPr>
          <w:color w:val="auto"/>
        </w:rPr>
      </w:pPr>
      <w:r>
        <w:rPr>
          <w:color w:val="auto"/>
        </w:rPr>
        <w:t>LightGBM regression was selected because gradient-boosted decision trees can model nonlinear relationships and interactions across calendar, categorical, price, and historical-demand features while remaining practical for large tabular data.</w:t>
      </w:r>
    </w:p>
    <w:p w14:paraId="3AC50068">
      <w:pPr>
        <w:rPr>
          <w:color w:val="auto"/>
        </w:rPr>
      </w:pPr>
      <w:r>
        <w:rPr>
          <w:color w:val="auto"/>
        </w:rPr>
        <w:t>The initial configuration used 200 estimators, learning_rate=0.05, num_leaves=31, and random_state=42. Tuning increased estimators to 300 and leaves to 63. A further configuration used min_child_samples=100.</w:t>
      </w:r>
    </w:p>
    <w:p w14:paraId="66981451">
      <w:pPr>
        <w:pStyle w:val="2"/>
        <w:rPr>
          <w:color w:val="auto"/>
        </w:rPr>
      </w:pPr>
      <w:r>
        <w:rPr>
          <w:color w:val="auto"/>
        </w:rPr>
        <w:t>8. Train and Validation Design</w:t>
      </w:r>
    </w:p>
    <w:p w14:paraId="33289476">
      <w:pPr>
        <w:rPr>
          <w:color w:val="auto"/>
        </w:rPr>
      </w:pPr>
      <w:r>
        <w:rPr>
          <w:color w:val="auto"/>
        </w:rPr>
        <w:t>A time-based holdout was used rather than a random split. The final 30 days of available history were reserved for validation.</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68"/>
        <w:gridCol w:w="4968"/>
      </w:tblGrid>
      <w:tr w14:paraId="5DD05A4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77BCC97C">
            <w:pPr>
              <w:spacing w:after="0" w:line="240" w:lineRule="auto"/>
              <w:rPr>
                <w:color w:val="auto"/>
              </w:rPr>
            </w:pPr>
            <w:r>
              <w:rPr>
                <w:color w:val="auto"/>
              </w:rPr>
              <w:t>Partition</w:t>
            </w:r>
          </w:p>
        </w:tc>
        <w:tc>
          <w:tcPr>
            <w:tcW w:w="4968" w:type="dxa"/>
          </w:tcPr>
          <w:p w14:paraId="267F7494">
            <w:pPr>
              <w:spacing w:after="0" w:line="240" w:lineRule="auto"/>
              <w:rPr>
                <w:color w:val="auto"/>
              </w:rPr>
            </w:pPr>
            <w:r>
              <w:rPr>
                <w:color w:val="auto"/>
              </w:rPr>
              <w:t>Period</w:t>
            </w:r>
          </w:p>
        </w:tc>
      </w:tr>
      <w:tr w14:paraId="10280F2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18E25D0E">
            <w:pPr>
              <w:spacing w:after="0" w:line="240" w:lineRule="auto"/>
              <w:rPr>
                <w:color w:val="auto"/>
              </w:rPr>
            </w:pPr>
            <w:r>
              <w:rPr>
                <w:color w:val="auto"/>
              </w:rPr>
              <w:t>Training</w:t>
            </w:r>
          </w:p>
        </w:tc>
        <w:tc>
          <w:tcPr>
            <w:tcW w:w="4968" w:type="dxa"/>
          </w:tcPr>
          <w:p w14:paraId="32B4AB78">
            <w:pPr>
              <w:spacing w:after="0" w:line="240" w:lineRule="auto"/>
              <w:rPr>
                <w:color w:val="auto"/>
              </w:rPr>
            </w:pPr>
            <w:r>
              <w:rPr>
                <w:color w:val="auto"/>
              </w:rPr>
              <w:t>2011-02-26 to 2016-03-25</w:t>
            </w:r>
          </w:p>
        </w:tc>
      </w:tr>
      <w:tr w14:paraId="6CC2BB4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6FA971CB">
            <w:pPr>
              <w:spacing w:after="0" w:line="240" w:lineRule="auto"/>
              <w:rPr>
                <w:color w:val="auto"/>
              </w:rPr>
            </w:pPr>
            <w:r>
              <w:rPr>
                <w:color w:val="auto"/>
              </w:rPr>
              <w:t>Validation</w:t>
            </w:r>
          </w:p>
        </w:tc>
        <w:tc>
          <w:tcPr>
            <w:tcW w:w="4968" w:type="dxa"/>
          </w:tcPr>
          <w:p w14:paraId="2C9CBD2D">
            <w:pPr>
              <w:spacing w:after="0" w:line="240" w:lineRule="auto"/>
              <w:rPr>
                <w:color w:val="auto"/>
              </w:rPr>
            </w:pPr>
            <w:r>
              <w:rPr>
                <w:color w:val="auto"/>
              </w:rPr>
              <w:t>2016-03-26 to 2016-04-24</w:t>
            </w:r>
          </w:p>
        </w:tc>
      </w:tr>
    </w:tbl>
    <w:p w14:paraId="483D6A33">
      <w:pPr>
        <w:rPr>
          <w:color w:val="auto"/>
        </w:rPr>
      </w:pPr>
      <w:r>
        <w:rPr>
          <w:color w:val="auto"/>
        </w:rPr>
        <w:t>Training contained 56,558,950 observations and validation contained 914,700 observations.</w:t>
      </w:r>
    </w:p>
    <w:p w14:paraId="7E95C0AE">
      <w:pPr>
        <w:pStyle w:val="2"/>
        <w:rPr>
          <w:color w:val="auto"/>
        </w:rPr>
      </w:pPr>
      <w:r>
        <w:rPr>
          <w:color w:val="auto"/>
        </w:rPr>
        <w:t>9. Model Evaluation</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12"/>
        <w:gridCol w:w="3312"/>
        <w:gridCol w:w="3312"/>
      </w:tblGrid>
      <w:tr w14:paraId="0A446E5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48A733C5">
            <w:pPr>
              <w:spacing w:after="0" w:line="240" w:lineRule="auto"/>
              <w:rPr>
                <w:color w:val="auto"/>
              </w:rPr>
            </w:pPr>
            <w:r>
              <w:rPr>
                <w:color w:val="auto"/>
              </w:rPr>
              <w:t>Model / Reference</w:t>
            </w:r>
          </w:p>
        </w:tc>
        <w:tc>
          <w:tcPr>
            <w:tcW w:w="3312" w:type="dxa"/>
          </w:tcPr>
          <w:p w14:paraId="27335596">
            <w:pPr>
              <w:spacing w:after="0" w:line="240" w:lineRule="auto"/>
              <w:rPr>
                <w:color w:val="auto"/>
              </w:rPr>
            </w:pPr>
            <w:r>
              <w:rPr>
                <w:color w:val="auto"/>
              </w:rPr>
              <w:t>RMSE</w:t>
            </w:r>
          </w:p>
        </w:tc>
        <w:tc>
          <w:tcPr>
            <w:tcW w:w="3312" w:type="dxa"/>
          </w:tcPr>
          <w:p w14:paraId="6EE586D8">
            <w:pPr>
              <w:spacing w:after="0" w:line="240" w:lineRule="auto"/>
              <w:rPr>
                <w:color w:val="auto"/>
              </w:rPr>
            </w:pPr>
            <w:r>
              <w:rPr>
                <w:color w:val="auto"/>
              </w:rPr>
              <w:t>MAE</w:t>
            </w:r>
          </w:p>
        </w:tc>
      </w:tr>
      <w:tr w14:paraId="1442E3C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6247B429">
            <w:pPr>
              <w:spacing w:after="0" w:line="240" w:lineRule="auto"/>
              <w:rPr>
                <w:color w:val="auto"/>
              </w:rPr>
            </w:pPr>
            <w:r>
              <w:rPr>
                <w:color w:val="auto"/>
              </w:rPr>
              <w:t>Lag-7 baseline</w:t>
            </w:r>
          </w:p>
        </w:tc>
        <w:tc>
          <w:tcPr>
            <w:tcW w:w="3312" w:type="dxa"/>
          </w:tcPr>
          <w:p w14:paraId="59B71171">
            <w:pPr>
              <w:spacing w:after="0" w:line="240" w:lineRule="auto"/>
              <w:rPr>
                <w:color w:val="auto"/>
              </w:rPr>
            </w:pPr>
            <w:r>
              <w:rPr>
                <w:color w:val="auto"/>
              </w:rPr>
              <w:t>2.70</w:t>
            </w:r>
          </w:p>
        </w:tc>
        <w:tc>
          <w:tcPr>
            <w:tcW w:w="3312" w:type="dxa"/>
          </w:tcPr>
          <w:p w14:paraId="589C1E12">
            <w:pPr>
              <w:spacing w:after="0" w:line="240" w:lineRule="auto"/>
              <w:rPr>
                <w:color w:val="auto"/>
              </w:rPr>
            </w:pPr>
            <w:r>
              <w:rPr>
                <w:color w:val="auto"/>
              </w:rPr>
              <w:t>1.22</w:t>
            </w:r>
          </w:p>
        </w:tc>
      </w:tr>
      <w:tr w14:paraId="5ACF248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042CD39A">
            <w:pPr>
              <w:spacing w:after="0" w:line="240" w:lineRule="auto"/>
              <w:rPr>
                <w:color w:val="auto"/>
              </w:rPr>
            </w:pPr>
            <w:r>
              <w:rPr>
                <w:color w:val="auto"/>
              </w:rPr>
              <w:t>Initial LightGBM</w:t>
            </w:r>
          </w:p>
        </w:tc>
        <w:tc>
          <w:tcPr>
            <w:tcW w:w="3312" w:type="dxa"/>
          </w:tcPr>
          <w:p w14:paraId="10A76717">
            <w:pPr>
              <w:spacing w:after="0" w:line="240" w:lineRule="auto"/>
              <w:rPr>
                <w:color w:val="auto"/>
              </w:rPr>
            </w:pPr>
            <w:r>
              <w:rPr>
                <w:color w:val="auto"/>
              </w:rPr>
              <w:t>1.93</w:t>
            </w:r>
          </w:p>
        </w:tc>
        <w:tc>
          <w:tcPr>
            <w:tcW w:w="3312" w:type="dxa"/>
          </w:tcPr>
          <w:p w14:paraId="25DD6753">
            <w:pPr>
              <w:spacing w:after="0" w:line="240" w:lineRule="auto"/>
              <w:rPr>
                <w:color w:val="auto"/>
              </w:rPr>
            </w:pPr>
            <w:r>
              <w:rPr>
                <w:color w:val="auto"/>
              </w:rPr>
              <w:t>0.97</w:t>
            </w:r>
          </w:p>
        </w:tc>
      </w:tr>
      <w:tr w14:paraId="1BA71F7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58687817">
            <w:pPr>
              <w:spacing w:after="0" w:line="240" w:lineRule="auto"/>
              <w:rPr>
                <w:color w:val="auto"/>
              </w:rPr>
            </w:pPr>
            <w:r>
              <w:rPr>
                <w:color w:val="auto"/>
              </w:rPr>
              <w:t>Tuned LightGBM</w:t>
            </w:r>
          </w:p>
        </w:tc>
        <w:tc>
          <w:tcPr>
            <w:tcW w:w="3312" w:type="dxa"/>
          </w:tcPr>
          <w:p w14:paraId="6C6401FC">
            <w:pPr>
              <w:spacing w:after="0" w:line="240" w:lineRule="auto"/>
              <w:rPr>
                <w:color w:val="auto"/>
              </w:rPr>
            </w:pPr>
            <w:r>
              <w:rPr>
                <w:color w:val="auto"/>
              </w:rPr>
              <w:t>≈1.917</w:t>
            </w:r>
          </w:p>
        </w:tc>
        <w:tc>
          <w:tcPr>
            <w:tcW w:w="3312" w:type="dxa"/>
          </w:tcPr>
          <w:p w14:paraId="14332325">
            <w:pPr>
              <w:spacing w:after="0" w:line="240" w:lineRule="auto"/>
              <w:rPr>
                <w:color w:val="auto"/>
              </w:rPr>
            </w:pPr>
            <w:r>
              <w:rPr>
                <w:color w:val="auto"/>
              </w:rPr>
              <w:t>≈0.969</w:t>
            </w:r>
          </w:p>
        </w:tc>
      </w:tr>
      <w:tr w14:paraId="4BAF85F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59CC3C33">
            <w:pPr>
              <w:spacing w:after="0" w:line="240" w:lineRule="auto"/>
              <w:rPr>
                <w:color w:val="auto"/>
              </w:rPr>
            </w:pPr>
            <w:r>
              <w:rPr>
                <w:color w:val="auto"/>
              </w:rPr>
              <w:t>Tuned LightGBM + min_child_samples=100</w:t>
            </w:r>
          </w:p>
        </w:tc>
        <w:tc>
          <w:tcPr>
            <w:tcW w:w="3312" w:type="dxa"/>
          </w:tcPr>
          <w:p w14:paraId="54431FA1">
            <w:pPr>
              <w:spacing w:after="0" w:line="240" w:lineRule="auto"/>
              <w:rPr>
                <w:color w:val="auto"/>
              </w:rPr>
            </w:pPr>
            <w:r>
              <w:rPr>
                <w:color w:val="auto"/>
              </w:rPr>
              <w:t>≈1.916</w:t>
            </w:r>
          </w:p>
        </w:tc>
        <w:tc>
          <w:tcPr>
            <w:tcW w:w="3312" w:type="dxa"/>
          </w:tcPr>
          <w:p w14:paraId="5755A142">
            <w:pPr>
              <w:spacing w:after="0" w:line="240" w:lineRule="auto"/>
              <w:rPr>
                <w:color w:val="auto"/>
              </w:rPr>
            </w:pPr>
            <w:r>
              <w:rPr>
                <w:color w:val="auto"/>
              </w:rPr>
              <w:t>≈0.969</w:t>
            </w:r>
          </w:p>
        </w:tc>
      </w:tr>
    </w:tbl>
    <w:p w14:paraId="68BEAEC0">
      <w:pPr>
        <w:rPr>
          <w:color w:val="auto"/>
        </w:rPr>
      </w:pPr>
      <w:r>
        <w:rPr>
          <w:color w:val="auto"/>
        </w:rPr>
        <w:t>The final tuned configuration achieved validation RMSE of approximately 1.916 and MAE of approximately 0.969, compared with 2.70 RMSE and 1.22 MAE for the lag-7 baseline. Prediction-to-actual correlation was approximately 0.854.</w:t>
      </w:r>
    </w:p>
    <w:p w14:paraId="7CC7AF9B">
      <w:pPr>
        <w:rPr>
          <w:color w:val="auto"/>
        </w:rPr>
      </w:pPr>
      <w:r>
        <w:rPr>
          <w:color w:val="auto"/>
        </w:rPr>
        <w:t>Error analysis showed increasing underprediction as actual demand increased. For the 10+ units group, average actual demand was approximately 18.38 units versus approximately 13.88 predicted units. This is relevant to inventory decisions because underprediction during high-demand periods can increase stockout risk.</w:t>
      </w:r>
    </w:p>
    <w:p w14:paraId="22356098">
      <w:pPr>
        <w:pStyle w:val="2"/>
        <w:rPr>
          <w:color w:val="auto"/>
        </w:rPr>
      </w:pPr>
      <w:r>
        <w:rPr>
          <w:color w:val="auto"/>
        </w:rPr>
        <w:t>10. Inventory Optimization Policy</w:t>
      </w:r>
    </w:p>
    <w:p w14:paraId="1019C95A">
      <w:pPr>
        <w:rPr>
          <w:color w:val="auto"/>
        </w:rPr>
      </w:pPr>
      <w:r>
        <w:rPr>
          <w:color w:val="auto"/>
        </w:rPr>
        <w:t>The forecasting model is followed by a rule-based inventory policy that converts forecast demand and uncertainty into replenishment thresholds.</w:t>
      </w:r>
    </w:p>
    <w:p w14:paraId="186252B4">
      <w:pPr>
        <w:pStyle w:val="3"/>
        <w:rPr>
          <w:color w:val="auto"/>
        </w:rPr>
      </w:pPr>
      <w:r>
        <w:rPr>
          <w:color w:val="auto"/>
        </w:rPr>
        <w:t>10.1 Lead-Time Demand</w:t>
      </w:r>
    </w:p>
    <w:p w14:paraId="34DFFFCB">
      <w:pPr>
        <w:rPr>
          <w:color w:val="auto"/>
        </w:rPr>
      </w:pPr>
      <w:r>
        <w:rPr>
          <w:color w:val="auto"/>
        </w:rPr>
        <w:t>A seven-day replenishment lead time is assumed.</w:t>
      </w:r>
    </w:p>
    <w:p w14:paraId="1DCCA7BF">
      <w:pPr>
        <w:rPr>
          <w:color w:val="auto"/>
        </w:rPr>
      </w:pPr>
      <w:r>
        <w:rPr>
          <w:color w:val="auto"/>
        </w:rPr>
        <w:t>Lead-time demand = average predicted daily demand × 7</w:t>
      </w:r>
    </w:p>
    <w:p w14:paraId="6A394DCC">
      <w:pPr>
        <w:pStyle w:val="3"/>
        <w:rPr>
          <w:color w:val="auto"/>
        </w:rPr>
      </w:pPr>
      <w:r>
        <w:rPr>
          <w:color w:val="auto"/>
        </w:rPr>
        <w:t>10.2 Forecast Error and Safety Stock</w:t>
      </w:r>
    </w:p>
    <w:p w14:paraId="0CB57D7D">
      <w:pPr>
        <w:rPr>
          <w:color w:val="auto"/>
        </w:rPr>
      </w:pPr>
      <w:r>
        <w:rPr>
          <w:color w:val="auto"/>
        </w:rPr>
        <w:t>Forecast error is calculated as actual demand minus predicted demand. Its standard deviation is used as the uncertainty measure.</w:t>
      </w:r>
    </w:p>
    <w:p w14:paraId="248A76AE">
      <w:pPr>
        <w:rPr>
          <w:color w:val="auto"/>
        </w:rPr>
      </w:pPr>
      <w:r>
        <w:rPr>
          <w:color w:val="auto"/>
        </w:rPr>
        <w:t>Safety stock = z × forecast error standard deviation × √7</w:t>
      </w:r>
    </w:p>
    <w:p w14:paraId="4B5018D9">
      <w:pPr>
        <w:rPr>
          <w:color w:val="auto"/>
        </w:rPr>
      </w:pPr>
      <w:r>
        <w:rPr>
          <w:color w:val="auto"/>
        </w:rPr>
        <w:t>The primary policy uses a 95% service-level z value of 1.645. The interactive system also supports 90% (1.2816) and 98% (2.0537).</w:t>
      </w:r>
    </w:p>
    <w:p w14:paraId="730EAAD3">
      <w:pPr>
        <w:pStyle w:val="3"/>
        <w:rPr>
          <w:color w:val="auto"/>
        </w:rPr>
      </w:pPr>
      <w:r>
        <w:rPr>
          <w:color w:val="auto"/>
        </w:rPr>
        <w:t>10.3 Reorder Point</w:t>
      </w:r>
    </w:p>
    <w:p w14:paraId="63B70BEA">
      <w:pPr>
        <w:rPr>
          <w:color w:val="auto"/>
        </w:rPr>
      </w:pPr>
      <w:r>
        <w:rPr>
          <w:color w:val="auto"/>
        </w:rPr>
        <w:t>Reorder point = lead-time demand + safety stock</w:t>
      </w:r>
    </w:p>
    <w:p w14:paraId="66AE62A6">
      <w:pPr>
        <w:pStyle w:val="3"/>
        <w:rPr>
          <w:color w:val="auto"/>
        </w:rPr>
      </w:pPr>
      <w:r>
        <w:rPr>
          <w:color w:val="auto"/>
        </w:rPr>
        <w:t>10.4 Order Quantity and Reorder Rule</w:t>
      </w:r>
    </w:p>
    <w:p w14:paraId="2E003855">
      <w:pPr>
        <w:rPr>
          <w:color w:val="auto"/>
        </w:rPr>
      </w:pPr>
      <w:r>
        <w:rPr>
          <w:color w:val="auto"/>
        </w:rPr>
        <w:t>Order quantity equals lead-time demand with a minimum of one unit. The simulation applies ceiling rounding so orders are made in whole units.</w:t>
      </w:r>
    </w:p>
    <w:p w14:paraId="0CE9E854">
      <w:pPr>
        <w:rPr>
          <w:color w:val="auto"/>
        </w:rPr>
      </w:pPr>
      <w:r>
        <w:rPr>
          <w:color w:val="auto"/>
        </w:rPr>
        <w:t>If inventory position, defined as physical inventory plus outstanding orders, is less than or equal to the reorder point, the system places an order for the calculated order quantity.</w:t>
      </w:r>
    </w:p>
    <w:p w14:paraId="6CEE53F3">
      <w:pPr>
        <w:pStyle w:val="2"/>
        <w:rPr>
          <w:color w:val="auto"/>
        </w:rPr>
      </w:pPr>
      <w:r>
        <w:rPr>
          <w:color w:val="auto"/>
        </w:rPr>
        <w:t>11. Inventory Simulation</w:t>
      </w:r>
    </w:p>
    <w:p w14:paraId="328D2E34">
      <w:pPr>
        <w:rPr>
          <w:color w:val="auto"/>
        </w:rPr>
      </w:pPr>
      <w:r>
        <w:rPr>
          <w:color w:val="auto"/>
        </w:rPr>
        <w:t>The policy was backtested using actual validation demand over the 30-day validation period. Orders are assumed to arrive seven days after placement. Initial inventory is set to the calculated reorder point for each product-store pair. This is a controlled simulation assumption rather than observed historical inventory.</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12"/>
        <w:gridCol w:w="3312"/>
        <w:gridCol w:w="3312"/>
      </w:tblGrid>
      <w:tr w14:paraId="53E4ABE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041EC48F">
            <w:pPr>
              <w:spacing w:after="0" w:line="240" w:lineRule="auto"/>
              <w:rPr>
                <w:color w:val="auto"/>
              </w:rPr>
            </w:pPr>
            <w:r>
              <w:rPr>
                <w:color w:val="auto"/>
              </w:rPr>
              <w:t>Policy</w:t>
            </w:r>
          </w:p>
        </w:tc>
        <w:tc>
          <w:tcPr>
            <w:tcW w:w="3312" w:type="dxa"/>
          </w:tcPr>
          <w:p w14:paraId="168E018D">
            <w:pPr>
              <w:spacing w:after="0" w:line="240" w:lineRule="auto"/>
              <w:rPr>
                <w:color w:val="auto"/>
              </w:rPr>
            </w:pPr>
            <w:r>
              <w:rPr>
                <w:color w:val="auto"/>
              </w:rPr>
              <w:t>Fill Rate</w:t>
            </w:r>
          </w:p>
        </w:tc>
        <w:tc>
          <w:tcPr>
            <w:tcW w:w="3312" w:type="dxa"/>
          </w:tcPr>
          <w:p w14:paraId="138E68D7">
            <w:pPr>
              <w:spacing w:after="0" w:line="240" w:lineRule="auto"/>
              <w:rPr>
                <w:color w:val="auto"/>
              </w:rPr>
            </w:pPr>
            <w:r>
              <w:rPr>
                <w:color w:val="auto"/>
              </w:rPr>
              <w:t>Stockout Rate</w:t>
            </w:r>
          </w:p>
        </w:tc>
      </w:tr>
      <w:tr w14:paraId="2750685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3F8AF215">
            <w:pPr>
              <w:spacing w:after="0" w:line="240" w:lineRule="auto"/>
              <w:rPr>
                <w:color w:val="auto"/>
              </w:rPr>
            </w:pPr>
            <w:r>
              <w:rPr>
                <w:color w:val="auto"/>
              </w:rPr>
              <w:t>Baseline</w:t>
            </w:r>
          </w:p>
        </w:tc>
        <w:tc>
          <w:tcPr>
            <w:tcW w:w="3312" w:type="dxa"/>
          </w:tcPr>
          <w:p w14:paraId="518C1C27">
            <w:pPr>
              <w:spacing w:after="0" w:line="240" w:lineRule="auto"/>
              <w:rPr>
                <w:color w:val="auto"/>
              </w:rPr>
            </w:pPr>
            <w:r>
              <w:rPr>
                <w:color w:val="auto"/>
              </w:rPr>
              <w:t>91.07%</w:t>
            </w:r>
          </w:p>
        </w:tc>
        <w:tc>
          <w:tcPr>
            <w:tcW w:w="3312" w:type="dxa"/>
          </w:tcPr>
          <w:p w14:paraId="45789251">
            <w:pPr>
              <w:spacing w:after="0" w:line="240" w:lineRule="auto"/>
              <w:rPr>
                <w:color w:val="auto"/>
              </w:rPr>
            </w:pPr>
            <w:r>
              <w:rPr>
                <w:color w:val="auto"/>
              </w:rPr>
              <w:t>4.35%</w:t>
            </w:r>
          </w:p>
        </w:tc>
      </w:tr>
      <w:tr w14:paraId="2DDA5F1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57C391B9">
            <w:pPr>
              <w:spacing w:after="0" w:line="240" w:lineRule="auto"/>
              <w:rPr>
                <w:color w:val="auto"/>
              </w:rPr>
            </w:pPr>
            <w:r>
              <w:rPr>
                <w:color w:val="auto"/>
              </w:rPr>
              <w:t>90% policy</w:t>
            </w:r>
          </w:p>
        </w:tc>
        <w:tc>
          <w:tcPr>
            <w:tcW w:w="3312" w:type="dxa"/>
          </w:tcPr>
          <w:p w14:paraId="132DAF55">
            <w:pPr>
              <w:spacing w:after="0" w:line="240" w:lineRule="auto"/>
              <w:rPr>
                <w:color w:val="auto"/>
              </w:rPr>
            </w:pPr>
            <w:r>
              <w:rPr>
                <w:color w:val="auto"/>
              </w:rPr>
              <w:t>98.19%</w:t>
            </w:r>
          </w:p>
        </w:tc>
        <w:tc>
          <w:tcPr>
            <w:tcW w:w="3312" w:type="dxa"/>
          </w:tcPr>
          <w:p w14:paraId="5075C289">
            <w:pPr>
              <w:spacing w:after="0" w:line="240" w:lineRule="auto"/>
              <w:rPr>
                <w:color w:val="auto"/>
              </w:rPr>
            </w:pPr>
            <w:r>
              <w:rPr>
                <w:color w:val="auto"/>
              </w:rPr>
              <w:t>0.67%</w:t>
            </w:r>
          </w:p>
        </w:tc>
      </w:tr>
      <w:tr w14:paraId="61497B7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0FDA8E93">
            <w:pPr>
              <w:spacing w:after="0" w:line="240" w:lineRule="auto"/>
              <w:rPr>
                <w:color w:val="auto"/>
              </w:rPr>
            </w:pPr>
            <w:r>
              <w:rPr>
                <w:color w:val="auto"/>
              </w:rPr>
              <w:t>95% policy</w:t>
            </w:r>
          </w:p>
        </w:tc>
        <w:tc>
          <w:tcPr>
            <w:tcW w:w="3312" w:type="dxa"/>
          </w:tcPr>
          <w:p w14:paraId="7C6BF298">
            <w:pPr>
              <w:spacing w:after="0" w:line="240" w:lineRule="auto"/>
              <w:rPr>
                <w:color w:val="auto"/>
              </w:rPr>
            </w:pPr>
            <w:r>
              <w:rPr>
                <w:color w:val="auto"/>
              </w:rPr>
              <w:t>98.91%</w:t>
            </w:r>
          </w:p>
        </w:tc>
        <w:tc>
          <w:tcPr>
            <w:tcW w:w="3312" w:type="dxa"/>
          </w:tcPr>
          <w:p w14:paraId="3D30F1E7">
            <w:pPr>
              <w:spacing w:after="0" w:line="240" w:lineRule="auto"/>
              <w:rPr>
                <w:color w:val="auto"/>
              </w:rPr>
            </w:pPr>
            <w:r>
              <w:rPr>
                <w:color w:val="auto"/>
              </w:rPr>
              <w:t>0.36%</w:t>
            </w:r>
          </w:p>
        </w:tc>
      </w:tr>
      <w:tr w14:paraId="0E59442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67BDBC7D">
            <w:pPr>
              <w:spacing w:after="0" w:line="240" w:lineRule="auto"/>
              <w:rPr>
                <w:color w:val="auto"/>
              </w:rPr>
            </w:pPr>
            <w:r>
              <w:rPr>
                <w:color w:val="auto"/>
              </w:rPr>
              <w:t>98% policy</w:t>
            </w:r>
          </w:p>
        </w:tc>
        <w:tc>
          <w:tcPr>
            <w:tcW w:w="3312" w:type="dxa"/>
          </w:tcPr>
          <w:p w14:paraId="49B4AFFB">
            <w:pPr>
              <w:spacing w:after="0" w:line="240" w:lineRule="auto"/>
              <w:rPr>
                <w:color w:val="auto"/>
              </w:rPr>
            </w:pPr>
            <w:r>
              <w:rPr>
                <w:color w:val="auto"/>
              </w:rPr>
              <w:t>99.38%</w:t>
            </w:r>
          </w:p>
        </w:tc>
        <w:tc>
          <w:tcPr>
            <w:tcW w:w="3312" w:type="dxa"/>
          </w:tcPr>
          <w:p w14:paraId="338ADFEA">
            <w:pPr>
              <w:spacing w:after="0" w:line="240" w:lineRule="auto"/>
              <w:rPr>
                <w:color w:val="auto"/>
              </w:rPr>
            </w:pPr>
            <w:r>
              <w:rPr>
                <w:color w:val="auto"/>
              </w:rPr>
              <w:t>0.18%</w:t>
            </w:r>
          </w:p>
        </w:tc>
      </w:tr>
    </w:tbl>
    <w:p w14:paraId="5D054760">
      <w:pPr>
        <w:rPr>
          <w:color w:val="auto"/>
        </w:rPr>
      </w:pPr>
      <w:r>
        <w:rPr>
          <w:color w:val="auto"/>
        </w:rPr>
        <w:t>For the primary 95% policy, the simulation produced a 98.91% historical fill rate, 3,299 stockout days, a 0.36% stockout rate, 2,411 product-store pairs with at least one stockout, 124,123 order events, 1,449,541 total units ordered, and average ending inventory of 11.20 units.</w:t>
      </w:r>
    </w:p>
    <w:p w14:paraId="1D09413D">
      <w:pPr>
        <w:rPr>
          <w:color w:val="auto"/>
        </w:rPr>
      </w:pPr>
      <w:r>
        <w:rPr>
          <w:color w:val="auto"/>
        </w:rPr>
        <w:t>The simulated fill rate is an empirical historical backtest result, not a guarantee of future service performance. The 95% service level is the parameter used to calculate safety stock.</w:t>
      </w:r>
    </w:p>
    <w:p w14:paraId="53959226">
      <w:pPr>
        <w:pStyle w:val="2"/>
        <w:rPr>
          <w:color w:val="auto"/>
        </w:rPr>
      </w:pPr>
      <w:r>
        <w:rPr>
          <w:color w:val="auto"/>
        </w:rPr>
        <w:t>12. Interactive System</w:t>
      </w:r>
    </w:p>
    <w:p w14:paraId="4583F373">
      <w:pPr>
        <w:rPr>
          <w:color w:val="auto"/>
        </w:rPr>
      </w:pPr>
      <w:r>
        <w:rPr>
          <w:color w:val="auto"/>
        </w:rPr>
        <w:t>The final interface presents the forecasting and inventory-policy workflow interactively. The trained LightGBM model remains an offline Python artifact; the website does not need to load the model or perform ML inference in the browser.</w:t>
      </w:r>
    </w:p>
    <w:p w14:paraId="0984D0E3">
      <w:pPr>
        <w:pStyle w:val="23"/>
        <w:rPr>
          <w:color w:val="auto"/>
        </w:rPr>
      </w:pPr>
      <w:r>
        <w:rPr>
          <w:color w:val="auto"/>
        </w:rPr>
        <w:t>Product and store selection is restricted to available product-store pairs.</w:t>
      </w:r>
    </w:p>
    <w:p w14:paraId="3484938F">
      <w:pPr>
        <w:pStyle w:val="23"/>
        <w:rPr>
          <w:color w:val="auto"/>
        </w:rPr>
      </w:pPr>
      <w:r>
        <w:rPr>
          <w:color w:val="auto"/>
        </w:rPr>
        <w:t>The user selects a service level of 90%, 95%, or 98%.</w:t>
      </w:r>
    </w:p>
    <w:p w14:paraId="7097BEA5">
      <w:pPr>
        <w:pStyle w:val="23"/>
        <w:rPr>
          <w:color w:val="auto"/>
        </w:rPr>
      </w:pPr>
      <w:r>
        <w:rPr>
          <w:color w:val="auto"/>
        </w:rPr>
        <w:t>The system calculates lead-time demand, safety stock, and reorder point from exported policy inputs.</w:t>
      </w:r>
    </w:p>
    <w:p w14:paraId="3B362670">
      <w:pPr>
        <w:pStyle w:val="23"/>
        <w:rPr>
          <w:color w:val="auto"/>
        </w:rPr>
      </w:pPr>
      <w:r>
        <w:rPr>
          <w:color w:val="auto"/>
        </w:rPr>
        <w:t>The user supplies simulated current inventory and optional units already on order.</w:t>
      </w:r>
    </w:p>
    <w:p w14:paraId="0302E3D3">
      <w:pPr>
        <w:pStyle w:val="23"/>
        <w:rPr>
          <w:color w:val="auto"/>
        </w:rPr>
      </w:pPr>
      <w:r>
        <w:rPr>
          <w:color w:val="auto"/>
        </w:rPr>
        <w:t>Inventory position is compared with the reorder point.</w:t>
      </w:r>
    </w:p>
    <w:p w14:paraId="76A084EC">
      <w:pPr>
        <w:pStyle w:val="23"/>
        <w:rPr>
          <w:color w:val="auto"/>
        </w:rPr>
      </w:pPr>
      <w:r>
        <w:rPr>
          <w:color w:val="auto"/>
        </w:rPr>
        <w:t>The interface returns a REORDER or HOLD STOCK decision and shows the calculations behind it.</w:t>
      </w:r>
    </w:p>
    <w:p w14:paraId="5E78D4C9">
      <w:pPr>
        <w:pStyle w:val="23"/>
        <w:rPr>
          <w:color w:val="auto"/>
        </w:rPr>
      </w:pPr>
      <w:r>
        <w:rPr>
          <w:color w:val="auto"/>
        </w:rPr>
        <w:t>The forecast period is explicitly identified as the historical validation period rather than a live forecast.</w:t>
      </w:r>
    </w:p>
    <w:p w14:paraId="324C6316">
      <w:pPr>
        <w:rPr>
          <w:color w:val="auto"/>
        </w:rPr>
      </w:pPr>
      <w:r>
        <w:rPr>
          <w:color w:val="auto"/>
        </w:rPr>
        <w:t>For FOODS_1_001 / CA_1, average predicted daily demand is approximately 1.129686 units. Seven-day lead-time demand is approximately 7.91 units. With forecast-error standard deviation of approximately 1.374 and a 95% service level, safety stock is approximately 5.98 units and reorder point is approximately 13.89 units.</w:t>
      </w:r>
    </w:p>
    <w:p w14:paraId="563F131D">
      <w:pPr>
        <w:pStyle w:val="2"/>
        <w:rPr>
          <w:color w:val="auto"/>
        </w:rPr>
      </w:pPr>
      <w:r>
        <w:rPr>
          <w:color w:val="auto"/>
        </w:rPr>
        <w:t>13. System Architecture</w:t>
      </w:r>
    </w:p>
    <w:p w14:paraId="2D78B1D6">
      <w:pPr>
        <w:pStyle w:val="23"/>
        <w:rPr>
          <w:color w:val="auto"/>
        </w:rPr>
      </w:pPr>
      <w:r>
        <w:rPr>
          <w:color w:val="auto"/>
        </w:rPr>
        <w:t>Historical M5 data → preprocessing and feature engineering</w:t>
      </w:r>
    </w:p>
    <w:p w14:paraId="4B4B9B25">
      <w:pPr>
        <w:pStyle w:val="23"/>
        <w:rPr>
          <w:color w:val="auto"/>
        </w:rPr>
      </w:pPr>
      <w:r>
        <w:rPr>
          <w:color w:val="auto"/>
        </w:rPr>
        <w:t>Feature data → LightGBM demand forecasting model</w:t>
      </w:r>
    </w:p>
    <w:p w14:paraId="3C481426">
      <w:pPr>
        <w:pStyle w:val="23"/>
        <w:rPr>
          <w:color w:val="auto"/>
        </w:rPr>
      </w:pPr>
      <w:r>
        <w:rPr>
          <w:color w:val="auto"/>
        </w:rPr>
        <w:t>Validation predictions → forecast error and uncertainty calculations</w:t>
      </w:r>
    </w:p>
    <w:p w14:paraId="55B75955">
      <w:pPr>
        <w:pStyle w:val="23"/>
        <w:rPr>
          <w:color w:val="auto"/>
        </w:rPr>
      </w:pPr>
      <w:r>
        <w:rPr>
          <w:color w:val="auto"/>
        </w:rPr>
        <w:t>Forecast statistics → inventory replenishment policy</w:t>
      </w:r>
    </w:p>
    <w:p w14:paraId="431DFEA2">
      <w:pPr>
        <w:pStyle w:val="23"/>
        <w:rPr>
          <w:color w:val="auto"/>
        </w:rPr>
      </w:pPr>
      <w:r>
        <w:rPr>
          <w:color w:val="auto"/>
        </w:rPr>
        <w:t>Policy outputs → compact exported product-store data</w:t>
      </w:r>
    </w:p>
    <w:p w14:paraId="3C2DB26C">
      <w:pPr>
        <w:pStyle w:val="23"/>
        <w:rPr>
          <w:color w:val="auto"/>
        </w:rPr>
      </w:pPr>
      <w:r>
        <w:rPr>
          <w:color w:val="auto"/>
        </w:rPr>
        <w:t>Exported data → static web interface and JavaScript decision logic</w:t>
      </w:r>
    </w:p>
    <w:p w14:paraId="395B86C0">
      <w:pPr>
        <w:pStyle w:val="2"/>
        <w:rPr>
          <w:color w:val="auto"/>
        </w:rPr>
      </w:pPr>
      <w:r>
        <w:rPr>
          <w:color w:val="auto"/>
        </w:rPr>
        <w:t>14. Engineering and Resource Constraints</w:t>
      </w:r>
    </w:p>
    <w:p w14:paraId="2F12E298">
      <w:pPr>
        <w:rPr>
          <w:color w:val="auto"/>
        </w:rPr>
      </w:pPr>
      <w:r>
        <w:rPr>
          <w:color w:val="auto"/>
        </w:rPr>
        <w:t>The project was developed on an Intel N97 machine with 16 GB RAM, integrated graphics, and no dedicated GPU. Because the reshaped dataset contains tens of millions of observations, memory management was a practical engineering consideration.</w:t>
      </w:r>
    </w:p>
    <w:p w14:paraId="3537BFA3">
      <w:pPr>
        <w:pStyle w:val="23"/>
        <w:rPr>
          <w:color w:val="auto"/>
        </w:rPr>
      </w:pPr>
      <w:r>
        <w:rPr>
          <w:color w:val="auto"/>
        </w:rPr>
        <w:t>Avoided unnecessary expansion of the large modeling table.</w:t>
      </w:r>
    </w:p>
    <w:p w14:paraId="3F5B3CF3">
      <w:pPr>
        <w:pStyle w:val="23"/>
        <w:rPr>
          <w:color w:val="auto"/>
        </w:rPr>
      </w:pPr>
      <w:r>
        <w:rPr>
          <w:color w:val="auto"/>
        </w:rPr>
        <w:t>Used compact representations where practical.</w:t>
      </w:r>
    </w:p>
    <w:p w14:paraId="7A8088C2">
      <w:pPr>
        <w:pStyle w:val="23"/>
        <w:rPr>
          <w:color w:val="auto"/>
        </w:rPr>
      </w:pPr>
      <w:r>
        <w:rPr>
          <w:color w:val="auto"/>
        </w:rPr>
        <w:t>Stopped additional long-lag feature experiments when they caused multi-gigabyte memory allocation failures.</w:t>
      </w:r>
    </w:p>
    <w:p w14:paraId="45920CA5">
      <w:pPr>
        <w:pStyle w:val="23"/>
        <w:rPr>
          <w:color w:val="auto"/>
        </w:rPr>
      </w:pPr>
      <w:r>
        <w:rPr>
          <w:color w:val="auto"/>
        </w:rPr>
        <w:t>Separated offline ML computation from the lightweight browser interface.</w:t>
      </w:r>
    </w:p>
    <w:p w14:paraId="132A147C">
      <w:pPr>
        <w:pStyle w:val="23"/>
        <w:rPr>
          <w:color w:val="auto"/>
        </w:rPr>
      </w:pPr>
      <w:r>
        <w:rPr>
          <w:color w:val="auto"/>
        </w:rPr>
        <w:t>Exported only the compact policy statistics required by the website rather than the full training dataset or model.</w:t>
      </w:r>
    </w:p>
    <w:p w14:paraId="11F129EA">
      <w:pPr>
        <w:pStyle w:val="2"/>
        <w:rPr>
          <w:color w:val="auto"/>
        </w:rPr>
      </w:pPr>
      <w:r>
        <w:rPr>
          <w:color w:val="auto"/>
        </w:rPr>
        <w:t>15. Limitations</w:t>
      </w:r>
    </w:p>
    <w:p w14:paraId="28E3A552">
      <w:pPr>
        <w:pStyle w:val="23"/>
        <w:rPr>
          <w:color w:val="auto"/>
        </w:rPr>
      </w:pPr>
      <w:r>
        <w:rPr>
          <w:color w:val="auto"/>
        </w:rPr>
        <w:t>The validation window is 30 days, so policy performance should not be treated as a complete measure of long-term operational performance.</w:t>
      </w:r>
    </w:p>
    <w:p w14:paraId="2FFA460B">
      <w:pPr>
        <w:pStyle w:val="23"/>
        <w:rPr>
          <w:color w:val="auto"/>
        </w:rPr>
      </w:pPr>
      <w:r>
        <w:rPr>
          <w:color w:val="auto"/>
        </w:rPr>
        <w:t>The simulation assumes a fixed seven-day lead time.</w:t>
      </w:r>
    </w:p>
    <w:p w14:paraId="23E4EFB8">
      <w:pPr>
        <w:pStyle w:val="23"/>
        <w:rPr>
          <w:color w:val="auto"/>
        </w:rPr>
      </w:pPr>
      <w:r>
        <w:rPr>
          <w:color w:val="auto"/>
        </w:rPr>
        <w:t>Initial inventory is set to the reorder point rather than observed historical inventory.</w:t>
      </w:r>
    </w:p>
    <w:p w14:paraId="51306F06">
      <w:pPr>
        <w:pStyle w:val="23"/>
        <w:rPr>
          <w:color w:val="auto"/>
        </w:rPr>
      </w:pPr>
      <w:r>
        <w:rPr>
          <w:color w:val="auto"/>
        </w:rPr>
        <w:t>The policy uses a z-score and forecast-error standard deviation as its uncertainty model.</w:t>
      </w:r>
    </w:p>
    <w:p w14:paraId="2343FF80">
      <w:pPr>
        <w:pStyle w:val="23"/>
        <w:rPr>
          <w:color w:val="auto"/>
        </w:rPr>
      </w:pPr>
      <w:r>
        <w:rPr>
          <w:color w:val="auto"/>
        </w:rPr>
        <w:t>The model underpredicts higher-demand observations, which is relevant to stockout risk.</w:t>
      </w:r>
    </w:p>
    <w:p w14:paraId="329D22AF">
      <w:pPr>
        <w:pStyle w:val="23"/>
        <w:rPr>
          <w:color w:val="auto"/>
        </w:rPr>
      </w:pPr>
      <w:r>
        <w:rPr>
          <w:color w:val="auto"/>
        </w:rPr>
        <w:t>The website uses historical validation forecasts and should not be described as a live production forecasting service.</w:t>
      </w:r>
    </w:p>
    <w:p w14:paraId="2C101DA3">
      <w:pPr>
        <w:pStyle w:val="23"/>
        <w:rPr>
          <w:color w:val="auto"/>
        </w:rPr>
      </w:pPr>
      <w:r>
        <w:rPr>
          <w:color w:val="auto"/>
        </w:rPr>
        <w:t>The order quantity is a simple lead-time-demand quantity and does not explicitly optimize holding cost, shortage cost, ordering cost, minimum order quantities, or capacity constraints.</w:t>
      </w:r>
    </w:p>
    <w:p w14:paraId="7750CB3A">
      <w:pPr>
        <w:pStyle w:val="2"/>
        <w:rPr>
          <w:color w:val="auto"/>
        </w:rPr>
      </w:pPr>
      <w:r>
        <w:rPr>
          <w:color w:val="auto"/>
        </w:rPr>
        <w:t>16. Future Improvements</w:t>
      </w:r>
    </w:p>
    <w:p w14:paraId="7A768E12">
      <w:pPr>
        <w:pStyle w:val="23"/>
        <w:rPr>
          <w:color w:val="auto"/>
        </w:rPr>
      </w:pPr>
      <w:r>
        <w:rPr>
          <w:color w:val="auto"/>
        </w:rPr>
        <w:t>Evaluate the forecasting model across multiple rolling time-based validation windows.</w:t>
      </w:r>
    </w:p>
    <w:p w14:paraId="49376A2F">
      <w:pPr>
        <w:pStyle w:val="23"/>
        <w:rPr>
          <w:color w:val="auto"/>
        </w:rPr>
      </w:pPr>
      <w:r>
        <w:rPr>
          <w:color w:val="auto"/>
        </w:rPr>
        <w:t>Test probabilistic or quantile forecasting to estimate demand uncertainty more directly.</w:t>
      </w:r>
    </w:p>
    <w:p w14:paraId="47AFDF0B">
      <w:pPr>
        <w:pStyle w:val="23"/>
        <w:rPr>
          <w:color w:val="auto"/>
        </w:rPr>
      </w:pPr>
      <w:r>
        <w:rPr>
          <w:color w:val="auto"/>
        </w:rPr>
        <w:t>Investigate models specialized for intermittent demand.</w:t>
      </w:r>
    </w:p>
    <w:p w14:paraId="60A209CC">
      <w:pPr>
        <w:pStyle w:val="23"/>
        <w:rPr>
          <w:color w:val="auto"/>
        </w:rPr>
      </w:pPr>
      <w:r>
        <w:rPr>
          <w:color w:val="auto"/>
        </w:rPr>
        <w:t>Incorporate explicit holding, shortage, and ordering costs into replenishment optimization.</w:t>
      </w:r>
    </w:p>
    <w:p w14:paraId="6C9BB1C3">
      <w:pPr>
        <w:pStyle w:val="23"/>
        <w:rPr>
          <w:color w:val="auto"/>
        </w:rPr>
      </w:pPr>
      <w:r>
        <w:rPr>
          <w:color w:val="auto"/>
        </w:rPr>
        <w:t>Model variable lead times and supplier constraints.</w:t>
      </w:r>
    </w:p>
    <w:p w14:paraId="68EC1FDB">
      <w:pPr>
        <w:pStyle w:val="23"/>
        <w:rPr>
          <w:color w:val="auto"/>
        </w:rPr>
      </w:pPr>
      <w:r>
        <w:rPr>
          <w:color w:val="auto"/>
        </w:rPr>
        <w:t>Evaluate forecasting and inventory performance separately by product, store, department, and demand volume.</w:t>
      </w:r>
    </w:p>
    <w:p w14:paraId="167EF8AC">
      <w:pPr>
        <w:pStyle w:val="23"/>
        <w:rPr>
          <w:color w:val="auto"/>
        </w:rPr>
      </w:pPr>
      <w:r>
        <w:rPr>
          <w:color w:val="auto"/>
        </w:rPr>
        <w:t>Explore additional efficient historical features without exceeding available memory.</w:t>
      </w:r>
    </w:p>
    <w:p w14:paraId="03DE73F1">
      <w:pPr>
        <w:pStyle w:val="2"/>
        <w:rPr>
          <w:color w:val="auto"/>
        </w:rPr>
      </w:pPr>
      <w:r>
        <w:rPr>
          <w:color w:val="auto"/>
        </w:rPr>
        <w:t>17. Conclusion</w:t>
      </w:r>
    </w:p>
    <w:p w14:paraId="67C0A585">
      <w:pPr>
        <w:rPr>
          <w:color w:val="auto"/>
        </w:rPr>
      </w:pPr>
      <w:r>
        <w:rPr>
          <w:color w:val="auto"/>
        </w:rPr>
        <w:t>This project combines large-scale retail demand forecasting with an explicit inventory optimization workflow. The system does not stop at predicting sales: forecasts are converted into lead-time demand, forecast uncertainty, safety stock, reorder points, and replenishment decisions. The forecasting model was evaluated against a lag-based baseline and the inventory policy was backtested using historical validation demand.</w:t>
      </w:r>
      <w:bookmarkStart w:id="0" w:name="_GoBack"/>
      <w:bookmarkEnd w:id="0"/>
    </w:p>
    <w:p w14:paraId="3141BB2F">
      <w:pPr>
        <w:rPr>
          <w:color w:val="auto"/>
        </w:rPr>
      </w:pPr>
      <w:r>
        <w:rPr>
          <w:color w:val="auto"/>
        </w:rPr>
        <w:t>The result is an end-to-end data science project covering large-scale data preparation, exploratory analysis, feature engineering, machine learning, time-aware validation, error analysis, inventory policy design, simulation, and deployment-oriented presentation.</w:t>
      </w:r>
    </w:p>
    <w:p w14:paraId="6740CA45">
      <w:pPr>
        <w:pStyle w:val="2"/>
        <w:rPr>
          <w:color w:val="auto"/>
        </w:rPr>
      </w:pPr>
      <w:r>
        <w:rPr>
          <w:color w:val="auto"/>
        </w:rPr>
        <w:t>18. Key Results at a Glance</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68"/>
        <w:gridCol w:w="4968"/>
      </w:tblGrid>
      <w:tr w14:paraId="64B0835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38D449D0">
            <w:pPr>
              <w:spacing w:after="0" w:line="240" w:lineRule="auto"/>
              <w:rPr>
                <w:color w:val="auto"/>
              </w:rPr>
            </w:pPr>
            <w:r>
              <w:rPr>
                <w:color w:val="auto"/>
              </w:rPr>
              <w:t>Metric</w:t>
            </w:r>
          </w:p>
        </w:tc>
        <w:tc>
          <w:tcPr>
            <w:tcW w:w="4968" w:type="dxa"/>
          </w:tcPr>
          <w:p w14:paraId="058DF411">
            <w:pPr>
              <w:spacing w:after="0" w:line="240" w:lineRule="auto"/>
              <w:rPr>
                <w:color w:val="auto"/>
              </w:rPr>
            </w:pPr>
            <w:r>
              <w:rPr>
                <w:color w:val="auto"/>
              </w:rPr>
              <w:t>Result</w:t>
            </w:r>
          </w:p>
        </w:tc>
      </w:tr>
      <w:tr w14:paraId="143582D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620781DE">
            <w:pPr>
              <w:spacing w:after="0" w:line="240" w:lineRule="auto"/>
              <w:rPr>
                <w:color w:val="auto"/>
              </w:rPr>
            </w:pPr>
            <w:r>
              <w:rPr>
                <w:color w:val="auto"/>
              </w:rPr>
              <w:t>Product-store series</w:t>
            </w:r>
          </w:p>
        </w:tc>
        <w:tc>
          <w:tcPr>
            <w:tcW w:w="4968" w:type="dxa"/>
          </w:tcPr>
          <w:p w14:paraId="1B42E022">
            <w:pPr>
              <w:spacing w:after="0" w:line="240" w:lineRule="auto"/>
              <w:rPr>
                <w:color w:val="auto"/>
              </w:rPr>
            </w:pPr>
            <w:r>
              <w:rPr>
                <w:color w:val="auto"/>
              </w:rPr>
              <w:t>30,490</w:t>
            </w:r>
          </w:p>
        </w:tc>
      </w:tr>
      <w:tr w14:paraId="3692245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7BB51A01">
            <w:pPr>
              <w:spacing w:after="0" w:line="240" w:lineRule="auto"/>
              <w:rPr>
                <w:color w:val="auto"/>
              </w:rPr>
            </w:pPr>
            <w:r>
              <w:rPr>
                <w:color w:val="auto"/>
              </w:rPr>
              <w:t>Daily sales history</w:t>
            </w:r>
          </w:p>
        </w:tc>
        <w:tc>
          <w:tcPr>
            <w:tcW w:w="4968" w:type="dxa"/>
          </w:tcPr>
          <w:p w14:paraId="67DC42E8">
            <w:pPr>
              <w:spacing w:after="0" w:line="240" w:lineRule="auto"/>
              <w:rPr>
                <w:color w:val="auto"/>
              </w:rPr>
            </w:pPr>
            <w:r>
              <w:rPr>
                <w:color w:val="auto"/>
              </w:rPr>
              <w:t>1,913 days</w:t>
            </w:r>
          </w:p>
        </w:tc>
      </w:tr>
      <w:tr w14:paraId="30379BC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5B512DEE">
            <w:pPr>
              <w:spacing w:after="0" w:line="240" w:lineRule="auto"/>
              <w:rPr>
                <w:color w:val="auto"/>
              </w:rPr>
            </w:pPr>
            <w:r>
              <w:rPr>
                <w:color w:val="auto"/>
              </w:rPr>
              <w:t>Training / validation observations</w:t>
            </w:r>
          </w:p>
        </w:tc>
        <w:tc>
          <w:tcPr>
            <w:tcW w:w="4968" w:type="dxa"/>
          </w:tcPr>
          <w:p w14:paraId="4399C9A6">
            <w:pPr>
              <w:spacing w:after="0" w:line="240" w:lineRule="auto"/>
              <w:rPr>
                <w:color w:val="auto"/>
              </w:rPr>
            </w:pPr>
            <w:r>
              <w:rPr>
                <w:color w:val="auto"/>
              </w:rPr>
              <w:t>56,558,950 / 914,700</w:t>
            </w:r>
          </w:p>
        </w:tc>
      </w:tr>
      <w:tr w14:paraId="2086686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53E671E7">
            <w:pPr>
              <w:spacing w:after="0" w:line="240" w:lineRule="auto"/>
              <w:rPr>
                <w:color w:val="auto"/>
              </w:rPr>
            </w:pPr>
            <w:r>
              <w:rPr>
                <w:color w:val="auto"/>
              </w:rPr>
              <w:t>Final model</w:t>
            </w:r>
          </w:p>
        </w:tc>
        <w:tc>
          <w:tcPr>
            <w:tcW w:w="4968" w:type="dxa"/>
          </w:tcPr>
          <w:p w14:paraId="7414F01B">
            <w:pPr>
              <w:spacing w:after="0" w:line="240" w:lineRule="auto"/>
              <w:rPr>
                <w:color w:val="auto"/>
              </w:rPr>
            </w:pPr>
            <w:r>
              <w:rPr>
                <w:color w:val="auto"/>
              </w:rPr>
              <w:t>LightGBM regression</w:t>
            </w:r>
          </w:p>
        </w:tc>
      </w:tr>
      <w:tr w14:paraId="4A296C3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14725008">
            <w:pPr>
              <w:spacing w:after="0" w:line="240" w:lineRule="auto"/>
              <w:rPr>
                <w:color w:val="auto"/>
              </w:rPr>
            </w:pPr>
            <w:r>
              <w:rPr>
                <w:color w:val="auto"/>
              </w:rPr>
              <w:t>Final validation RMSE</w:t>
            </w:r>
          </w:p>
        </w:tc>
        <w:tc>
          <w:tcPr>
            <w:tcW w:w="4968" w:type="dxa"/>
          </w:tcPr>
          <w:p w14:paraId="749EBF7E">
            <w:pPr>
              <w:spacing w:after="0" w:line="240" w:lineRule="auto"/>
              <w:rPr>
                <w:color w:val="auto"/>
              </w:rPr>
            </w:pPr>
            <w:r>
              <w:rPr>
                <w:color w:val="auto"/>
              </w:rPr>
              <w:t>≈1.916</w:t>
            </w:r>
          </w:p>
        </w:tc>
      </w:tr>
      <w:tr w14:paraId="4727E3A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3E48ED80">
            <w:pPr>
              <w:spacing w:after="0" w:line="240" w:lineRule="auto"/>
              <w:rPr>
                <w:color w:val="auto"/>
              </w:rPr>
            </w:pPr>
            <w:r>
              <w:rPr>
                <w:color w:val="auto"/>
              </w:rPr>
              <w:t>Final validation MAE</w:t>
            </w:r>
          </w:p>
        </w:tc>
        <w:tc>
          <w:tcPr>
            <w:tcW w:w="4968" w:type="dxa"/>
          </w:tcPr>
          <w:p w14:paraId="6B541317">
            <w:pPr>
              <w:spacing w:after="0" w:line="240" w:lineRule="auto"/>
              <w:rPr>
                <w:color w:val="auto"/>
              </w:rPr>
            </w:pPr>
            <w:r>
              <w:rPr>
                <w:color w:val="auto"/>
              </w:rPr>
              <w:t>≈0.969</w:t>
            </w:r>
          </w:p>
        </w:tc>
      </w:tr>
      <w:tr w14:paraId="680D332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03B7CC68">
            <w:pPr>
              <w:spacing w:after="0" w:line="240" w:lineRule="auto"/>
              <w:rPr>
                <w:color w:val="auto"/>
              </w:rPr>
            </w:pPr>
            <w:r>
              <w:rPr>
                <w:color w:val="auto"/>
              </w:rPr>
              <w:t>Validation correlation</w:t>
            </w:r>
          </w:p>
        </w:tc>
        <w:tc>
          <w:tcPr>
            <w:tcW w:w="4968" w:type="dxa"/>
          </w:tcPr>
          <w:p w14:paraId="36BAA9CF">
            <w:pPr>
              <w:spacing w:after="0" w:line="240" w:lineRule="auto"/>
              <w:rPr>
                <w:color w:val="auto"/>
              </w:rPr>
            </w:pPr>
            <w:r>
              <w:rPr>
                <w:color w:val="auto"/>
              </w:rPr>
              <w:t>≈0.854</w:t>
            </w:r>
          </w:p>
        </w:tc>
      </w:tr>
      <w:tr w14:paraId="1844957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1134A378">
            <w:pPr>
              <w:spacing w:after="0" w:line="240" w:lineRule="auto"/>
              <w:rPr>
                <w:color w:val="auto"/>
              </w:rPr>
            </w:pPr>
            <w:r>
              <w:rPr>
                <w:color w:val="auto"/>
              </w:rPr>
              <w:t>Primary service level</w:t>
            </w:r>
          </w:p>
        </w:tc>
        <w:tc>
          <w:tcPr>
            <w:tcW w:w="4968" w:type="dxa"/>
          </w:tcPr>
          <w:p w14:paraId="4AB39414">
            <w:pPr>
              <w:spacing w:after="0" w:line="240" w:lineRule="auto"/>
              <w:rPr>
                <w:color w:val="auto"/>
              </w:rPr>
            </w:pPr>
            <w:r>
              <w:rPr>
                <w:color w:val="auto"/>
              </w:rPr>
              <w:t>95%</w:t>
            </w:r>
          </w:p>
        </w:tc>
      </w:tr>
      <w:tr w14:paraId="103E2A0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1BE97BC1">
            <w:pPr>
              <w:spacing w:after="0" w:line="240" w:lineRule="auto"/>
              <w:rPr>
                <w:color w:val="auto"/>
              </w:rPr>
            </w:pPr>
            <w:r>
              <w:rPr>
                <w:color w:val="auto"/>
              </w:rPr>
              <w:t>Lead time</w:t>
            </w:r>
          </w:p>
        </w:tc>
        <w:tc>
          <w:tcPr>
            <w:tcW w:w="4968" w:type="dxa"/>
          </w:tcPr>
          <w:p w14:paraId="047402AC">
            <w:pPr>
              <w:spacing w:after="0" w:line="240" w:lineRule="auto"/>
              <w:rPr>
                <w:color w:val="auto"/>
              </w:rPr>
            </w:pPr>
            <w:r>
              <w:rPr>
                <w:color w:val="auto"/>
              </w:rPr>
              <w:t>7 days</w:t>
            </w:r>
          </w:p>
        </w:tc>
      </w:tr>
      <w:tr w14:paraId="61810EF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0C524AD6">
            <w:pPr>
              <w:spacing w:after="0" w:line="240" w:lineRule="auto"/>
              <w:rPr>
                <w:color w:val="auto"/>
              </w:rPr>
            </w:pPr>
            <w:r>
              <w:rPr>
                <w:color w:val="auto"/>
              </w:rPr>
              <w:t>Primary simulated fill rate</w:t>
            </w:r>
          </w:p>
        </w:tc>
        <w:tc>
          <w:tcPr>
            <w:tcW w:w="4968" w:type="dxa"/>
          </w:tcPr>
          <w:p w14:paraId="4D5BE788">
            <w:pPr>
              <w:spacing w:after="0" w:line="240" w:lineRule="auto"/>
              <w:rPr>
                <w:color w:val="auto"/>
              </w:rPr>
            </w:pPr>
            <w:r>
              <w:rPr>
                <w:color w:val="auto"/>
              </w:rPr>
              <w:t>98.91%</w:t>
            </w:r>
          </w:p>
        </w:tc>
      </w:tr>
      <w:tr w14:paraId="2E443ED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5A7C5B6A">
            <w:pPr>
              <w:spacing w:after="0" w:line="240" w:lineRule="auto"/>
              <w:rPr>
                <w:color w:val="auto"/>
              </w:rPr>
            </w:pPr>
            <w:r>
              <w:rPr>
                <w:color w:val="auto"/>
              </w:rPr>
              <w:t>Primary simulated stockout rate</w:t>
            </w:r>
          </w:p>
        </w:tc>
        <w:tc>
          <w:tcPr>
            <w:tcW w:w="4968" w:type="dxa"/>
          </w:tcPr>
          <w:p w14:paraId="570FD270">
            <w:pPr>
              <w:spacing w:after="0" w:line="240" w:lineRule="auto"/>
              <w:rPr>
                <w:color w:val="auto"/>
              </w:rPr>
            </w:pPr>
            <w:r>
              <w:rPr>
                <w:color w:val="auto"/>
              </w:rPr>
              <w:t>0.36%</w:t>
            </w:r>
          </w:p>
        </w:tc>
      </w:tr>
    </w:tbl>
    <w:p w14:paraId="2532AC22">
      <w:pPr>
        <w:rPr>
          <w:color w:val="auto"/>
        </w:rPr>
      </w:pP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24545">
    <w:pPr>
      <w:pStyle w:val="18"/>
      <w:jc w:val="center"/>
    </w:pPr>
    <w:r>
      <w:t>Demand Forecasting &amp; Inventory Optimization System | Technical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017D0B"/>
    <w:rsid w:val="4F141EA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357</Words>
  <Characters>2330</Characters>
  <Lines>0</Lines>
  <Paragraphs>0</Paragraphs>
  <TotalTime>1</TotalTime>
  <ScaleCrop>false</ScaleCrop>
  <LinksUpToDate>false</LinksUpToDate>
  <CharactersWithSpaces>2661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chizotam chiaghanam</cp:lastModifiedBy>
  <dcterms:modified xsi:type="dcterms:W3CDTF">2026-10-02T22:45:26Z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eyJoZGlkIjoiOWJjMDc0OTM1YTA5YzVlMjQxMjliZTliMTBlMDA4MmYiLCJ1c2VySWQiOiIzNzI4NjgxODEzMDI4In0=</vt:lpwstr>
  </property>
  <property fmtid="{D5CDD505-2E9C-101B-9397-08002B2CF9AE}" pid="3" name="KSOProductBuildVer">
    <vt:lpwstr>1033-12.1.0.28485</vt:lpwstr>
  </property>
  <property fmtid="{D5CDD505-2E9C-101B-9397-08002B2CF9AE}" pid="4" name="ICV">
    <vt:lpwstr>423DDC105CBF440597FADD3960A66393_13</vt:lpwstr>
  </property>
</Properties>
</file>