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B3D2E"/>
          <w:sz w:val="36"/>
          <w:szCs w:val="36"/>
        </w:rPr>
        <w:t xml:space="preserve">MediCore Pharmaceutical Analytics</w:t>
      </w:r>
    </w:p>
    <w:p>
      <w:pPr>
        <w:spacing w:after="220" w:before="60"/>
      </w:pPr>
      <w:r>
        <w:rPr>
          <w:i/>
          <w:iCs/>
          <w:color w:val="666666"/>
          <w:sz w:val="20"/>
          <w:szCs w:val="20"/>
        </w:rPr>
        <w:t xml:space="preserve">A self-built PostgreSQL project — database design, data cleaning, and business analysis for a simulated Nigerian pharmaceutical distributor</w:t>
      </w:r>
    </w:p>
    <w:p>
      <w:pPr>
        <w:pStyle w:val="Heading1"/>
        <w:spacing w:after="120" w:before="280"/>
      </w:pPr>
      <w:r>
        <w:t xml:space="preserve">Overview</w:t>
      </w:r>
    </w:p>
    <w:p>
      <w:pPr>
        <w:spacing w:after="140" w:line="290"/>
      </w:pPr>
      <w:r>
        <w:rPr>
          <w:sz w:val="21"/>
          <w:szCs w:val="21"/>
        </w:rPr>
        <w:t xml:space="preserve">MediCore Pharmaceuticals is a fictional pharmaceutical distributor I built to practice the full analytics workflow end to end, not just writing queries against a dataset someone else already cleaned. I designed the schema, generated three years of data (2023-2025, ~15,000 transactions across 30 products and 6 regional warehouses), deliberately built in realistic data-quality issues, cleaned it by hand, and wrote every analysis query myself.</w:t>
      </w:r>
    </w:p>
    <w:p>
      <w:pPr>
        <w:spacing w:after="140" w:line="290"/>
      </w:pPr>
      <w:r>
        <w:rPr>
          <w:sz w:val="21"/>
          <w:szCs w:val="21"/>
        </w:rPr>
        <w:t xml:space="preserve">Tools: PostgreSQL, VS Code with SQLTools, hand-written SQL, plus a custom HTML dashboard and a Power BI report built against the live database.</w:t>
      </w:r>
    </w:p>
    <w:p>
      <w:pPr>
        <w:pStyle w:val="Heading1"/>
        <w:spacing w:after="120" w:before="280"/>
      </w:pPr>
      <w:r>
        <w:t xml:space="preserve">Database Design</w:t>
      </w:r>
    </w:p>
    <w:p>
      <w:pPr>
        <w:spacing w:after="140" w:line="290"/>
      </w:pPr>
      <w:r>
        <w:rPr>
          <w:sz w:val="21"/>
          <w:szCs w:val="21"/>
        </w:rPr>
        <w:t xml:space="preserve">Seven tables — suppliers, warehouses, products, customers, employees, inventory, sales. Sales references products directly rather than a specific inventory batch, a simplicity tradeoff I'd revisit for a production system. Used CHECK constraints to enforce valid categories/regions/types at the database level, and PostgreSQL's GENERATED ALWAYS AS columns so profit figures can never drift out of sync with the underlying price and quantity.</w:t>
      </w:r>
    </w:p>
    <w:p>
      <w:pPr>
        <w:pStyle w:val="Heading1"/>
        <w:spacing w:after="120" w:before="280"/>
      </w:pPr>
      <w:r>
        <w:t xml:space="preserve">Data Cleaning</w:t>
      </w:r>
    </w:p>
    <w:p>
      <w:pPr>
        <w:spacing w:after="140" w:line="290"/>
      </w:pPr>
      <w:r>
        <w:rPr>
          <w:sz w:val="21"/>
          <w:szCs w:val="21"/>
        </w:rPr>
        <w:t xml:space="preserve">Found and merged 4 duplicate customer records, including one hidden by a double space that TRIM() alone couldn't catch — needed regexp_replace to fix properly. Standardized three different ways "missing phone number" was stored down to a single NULL. Standardized inconsistent inventory batch number formats. For sales rows with suspicious values (wrong prices, unrealistic quantities), I flagged them in a data_quality_flag column instead of deleting or guessing at corrections — preserves the raw data while keeping it easy to exclude from analysis.</w:t>
      </w:r>
    </w:p>
    <w:p>
      <w:pPr>
        <w:pStyle w:val="Heading1"/>
        <w:spacing w:after="120" w:before="280"/>
      </w:pPr>
      <w:r>
        <w:t xml:space="preserve">Debugging: Two Real Bugs</w:t>
      </w:r>
    </w:p>
    <w:p>
      <w:pPr>
        <w:spacing w:after="140" w:line="290"/>
      </w:pPr>
      <w:r>
        <w:rPr>
          <w:sz w:val="21"/>
          <w:szCs w:val="21"/>
        </w:rPr>
        <w:t xml:space="preserve">My first products-by-revenue query returned one row with 288,054 units sold — clearly broken. Root cause: a random() call inside a JOIN condition wasn't being re-evaluated per row in PostgreSQL, so almost every sale ended up linked to the same product. Fixed by picking the random value first, then joining. The same bug then reappeared in the customer_id logic, which I recognized immediately as the same category of problem and fixed with a more robust pattern: indexing into an array with random() directly in the expression, which is guaranteed to re-evaluate per row.</w:t>
      </w:r>
    </w:p>
    <w:p>
      <w:pPr>
        <w:pStyle w:val="Heading1"/>
        <w:spacing w:after="120" w:before="280"/>
      </w:pPr>
      <w:r>
        <w:t xml:space="preserve">Key Findings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25"/>
            <w:tcBorders>
              <w:top w:val="single" w:color="CCCCCC" w:sz="4"/>
              <w:left w:val="single" w:color="CCCCCC" w:sz="4"/>
              <w:bottom w:val="single" w:color="CCCCCC" w:sz="4"/>
              <w:right w:val="single" w:color="CCCCCC" w:sz="4"/>
            </w:tcBorders>
            <w:shd w:fill="0F6E56" w:val="clear"/>
          </w:tcPr>
          <w:p>
            <w:r>
              <w:rPr>
                <w:b/>
                <w:bCs/>
                <w:color w:val="FFFFFF"/>
                <w:sz w:val="19"/>
                <w:szCs w:val="19"/>
              </w:rPr>
              <w:t xml:space="preserve">Metric</w:t>
            </w:r>
          </w:p>
        </w:tc>
        <w:tc>
          <w:tcPr>
            <w:tcW w:type="dxa" w:w="2325"/>
            <w:tcBorders>
              <w:top w:val="single" w:color="CCCCCC" w:sz="4"/>
              <w:left w:val="single" w:color="CCCCCC" w:sz="4"/>
              <w:bottom w:val="single" w:color="CCCCCC" w:sz="4"/>
              <w:right w:val="single" w:color="CCCCCC" w:sz="4"/>
            </w:tcBorders>
            <w:shd w:fill="0F6E56" w:val="clear"/>
          </w:tcPr>
          <w:p>
            <w:r>
              <w:rPr>
                <w:b/>
                <w:bCs/>
                <w:color w:val="FFFFFF"/>
                <w:sz w:val="19"/>
                <w:szCs w:val="19"/>
              </w:rPr>
              <w:t xml:space="preserve">Result</w:t>
            </w:r>
          </w:p>
        </w:tc>
      </w:tr>
      <w:tr>
        <w:tc>
          <w:tcPr>
            <w:tcW w:type="dxa" w:w="2325"/>
            <w:tcBorders>
              <w:top w:val="single" w:color="CCCCCC" w:sz="4"/>
              <w:left w:val="single" w:color="CCCCCC" w:sz="4"/>
              <w:bottom w:val="single" w:color="CCCCCC" w:sz="4"/>
              <w:right w:val="single" w:color="CCCCCC" w:sz="4"/>
            </w:tcBorders>
            <w:shd w:fill="F6F4EE" w:val="clear"/>
          </w:tcPr>
          <w:p>
            <w:r>
              <w:rPr>
                <w:b/>
                <w:bCs/>
                <w:color w:val="000000"/>
                <w:sz w:val="19"/>
                <w:szCs w:val="19"/>
              </w:rPr>
              <w:t xml:space="preserve">Total revenue (36 mo.)</w:t>
            </w:r>
          </w:p>
        </w:tc>
        <w:tc>
          <w:tcPr>
            <w:tcW w:type="dxa" w:w="2325"/>
            <w:tcBorders>
              <w:top w:val="single" w:color="CCCCCC" w:sz="4"/>
              <w:left w:val="single" w:color="CCCCCC" w:sz="4"/>
              <w:bottom w:val="single" w:color="CCCCCC" w:sz="4"/>
              <w:right w:val="single" w:color="CCCCCC" w:sz="4"/>
            </w:tcBorders>
          </w:tcPr>
          <w:p>
            <w:r>
              <w:rPr>
                <w:b w:val="false"/>
                <w:bCs w:val="false"/>
                <w:color w:val="000000"/>
                <w:sz w:val="19"/>
                <w:szCs w:val="19"/>
              </w:rPr>
              <w:t xml:space="preserve">₦208.6M, steady month to month, no strong trend</w:t>
            </w:r>
          </w:p>
        </w:tc>
      </w:tr>
      <w:tr>
        <w:tc>
          <w:tcPr>
            <w:tcW w:type="dxa" w:w="2325"/>
            <w:tcBorders>
              <w:top w:val="single" w:color="CCCCCC" w:sz="4"/>
              <w:left w:val="single" w:color="CCCCCC" w:sz="4"/>
              <w:bottom w:val="single" w:color="CCCCCC" w:sz="4"/>
              <w:right w:val="single" w:color="CCCCCC" w:sz="4"/>
            </w:tcBorders>
            <w:shd w:fill="F6F4EE" w:val="clear"/>
          </w:tcPr>
          <w:p>
            <w:r>
              <w:rPr>
                <w:b/>
                <w:bCs/>
                <w:color w:val="000000"/>
                <w:sz w:val="19"/>
                <w:szCs w:val="19"/>
              </w:rPr>
              <w:t xml:space="preserve">Top product category</w:t>
            </w:r>
          </w:p>
        </w:tc>
        <w:tc>
          <w:tcPr>
            <w:tcW w:type="dxa" w:w="2325"/>
            <w:tcBorders>
              <w:top w:val="single" w:color="CCCCCC" w:sz="4"/>
              <w:left w:val="single" w:color="CCCCCC" w:sz="4"/>
              <w:bottom w:val="single" w:color="CCCCCC" w:sz="4"/>
              <w:right w:val="single" w:color="CCCCCC" w:sz="4"/>
            </w:tcBorders>
          </w:tcPr>
          <w:p>
            <w:r>
              <w:rPr>
                <w:b w:val="false"/>
                <w:bCs w:val="false"/>
                <w:color w:val="000000"/>
                <w:sz w:val="19"/>
                <w:szCs w:val="19"/>
              </w:rPr>
              <w:t xml:space="preserve">Medical consumables (gloves, syringes, masks) outsell individual drugs</w:t>
            </w:r>
          </w:p>
        </w:tc>
      </w:tr>
      <w:tr>
        <w:tc>
          <w:tcPr>
            <w:tcW w:type="dxa" w:w="2325"/>
            <w:tcBorders>
              <w:top w:val="single" w:color="CCCCCC" w:sz="4"/>
              <w:left w:val="single" w:color="CCCCCC" w:sz="4"/>
              <w:bottom w:val="single" w:color="CCCCCC" w:sz="4"/>
              <w:right w:val="single" w:color="CCCCCC" w:sz="4"/>
            </w:tcBorders>
            <w:shd w:fill="F6F4EE" w:val="clear"/>
          </w:tcPr>
          <w:p>
            <w:r>
              <w:rPr>
                <w:b/>
                <w:bCs/>
                <w:color w:val="000000"/>
                <w:sz w:val="19"/>
                <w:szCs w:val="19"/>
              </w:rPr>
              <w:t xml:space="preserve">Top region</w:t>
            </w:r>
          </w:p>
        </w:tc>
        <w:tc>
          <w:tcPr>
            <w:tcW w:type="dxa" w:w="2325"/>
            <w:tcBorders>
              <w:top w:val="single" w:color="CCCCCC" w:sz="4"/>
              <w:left w:val="single" w:color="CCCCCC" w:sz="4"/>
              <w:bottom w:val="single" w:color="CCCCCC" w:sz="4"/>
              <w:right w:val="single" w:color="CCCCCC" w:sz="4"/>
            </w:tcBorders>
          </w:tcPr>
          <w:p>
            <w:r>
              <w:rPr>
                <w:b w:val="false"/>
                <w:bCs w:val="false"/>
                <w:color w:val="000000"/>
                <w:sz w:val="19"/>
                <w:szCs w:val="19"/>
              </w:rPr>
              <w:t xml:space="preserve">South West — ₦51.3M (Lagos hub); North East trails at ₦9.8M</w:t>
            </w:r>
          </w:p>
        </w:tc>
      </w:tr>
      <w:tr>
        <w:tc>
          <w:tcPr>
            <w:tcW w:type="dxa" w:w="2325"/>
            <w:tcBorders>
              <w:top w:val="single" w:color="CCCCCC" w:sz="4"/>
              <w:left w:val="single" w:color="CCCCCC" w:sz="4"/>
              <w:bottom w:val="single" w:color="CCCCCC" w:sz="4"/>
              <w:right w:val="single" w:color="CCCCCC" w:sz="4"/>
            </w:tcBorders>
            <w:shd w:fill="F6F4EE" w:val="clear"/>
          </w:tcPr>
          <w:p>
            <w:r>
              <w:rPr>
                <w:b/>
                <w:bCs/>
                <w:color w:val="000000"/>
                <w:sz w:val="19"/>
                <w:szCs w:val="19"/>
              </w:rPr>
              <w:t xml:space="preserve">Customer concentration</w:t>
            </w:r>
          </w:p>
        </w:tc>
        <w:tc>
          <w:tcPr>
            <w:tcW w:type="dxa" w:w="2325"/>
            <w:tcBorders>
              <w:top w:val="single" w:color="CCCCCC" w:sz="4"/>
              <w:left w:val="single" w:color="CCCCCC" w:sz="4"/>
              <w:bottom w:val="single" w:color="CCCCCC" w:sz="4"/>
              <w:right w:val="single" w:color="CCCCCC" w:sz="4"/>
            </w:tcBorders>
          </w:tcPr>
          <w:p>
            <w:r>
              <w:rPr>
                <w:b w:val="false"/>
                <w:bCs w:val="false"/>
                <w:color w:val="000000"/>
                <w:sz w:val="19"/>
                <w:szCs w:val="19"/>
              </w:rPr>
              <w:t xml:space="preserve">Top 10 customers tightly clustered ₦10.4M-11.7M — no single client dominates</w:t>
            </w:r>
          </w:p>
        </w:tc>
      </w:tr>
      <w:tr>
        <w:tc>
          <w:tcPr>
            <w:tcW w:type="dxa" w:w="2325"/>
            <w:tcBorders>
              <w:top w:val="single" w:color="CCCCCC" w:sz="4"/>
              <w:left w:val="single" w:color="CCCCCC" w:sz="4"/>
              <w:bottom w:val="single" w:color="CCCCCC" w:sz="4"/>
              <w:right w:val="single" w:color="CCCCCC" w:sz="4"/>
            </w:tcBorders>
            <w:shd w:fill="F6F4EE" w:val="clear"/>
          </w:tcPr>
          <w:p>
            <w:r>
              <w:rPr>
                <w:b/>
                <w:bCs/>
                <w:color w:val="000000"/>
                <w:sz w:val="19"/>
                <w:szCs w:val="19"/>
              </w:rPr>
              <w:t xml:space="preserve">Sales rep spread</w:t>
            </w:r>
          </w:p>
        </w:tc>
        <w:tc>
          <w:tcPr>
            <w:tcW w:type="dxa" w:w="2325"/>
            <w:tcBorders>
              <w:top w:val="single" w:color="CCCCCC" w:sz="4"/>
              <w:left w:val="single" w:color="CCCCCC" w:sz="4"/>
              <w:bottom w:val="single" w:color="CCCCCC" w:sz="4"/>
              <w:right w:val="single" w:color="CCCCCC" w:sz="4"/>
            </w:tcBorders>
          </w:tcPr>
          <w:p>
            <w:r>
              <w:rPr>
                <w:b w:val="false"/>
                <w:bCs w:val="false"/>
                <w:color w:val="000000"/>
                <w:sz w:val="19"/>
                <w:szCs w:val="19"/>
              </w:rPr>
              <w:t xml:space="preserve">All 10 reps within ₦19.8M-22M — consistent team performance</w:t>
            </w:r>
          </w:p>
        </w:tc>
      </w:tr>
      <w:tr>
        <w:tc>
          <w:tcPr>
            <w:tcW w:type="dxa" w:w="2325"/>
            <w:tcBorders>
              <w:top w:val="single" w:color="CCCCCC" w:sz="4"/>
              <w:left w:val="single" w:color="CCCCCC" w:sz="4"/>
              <w:bottom w:val="single" w:color="CCCCCC" w:sz="4"/>
              <w:right w:val="single" w:color="CCCCCC" w:sz="4"/>
            </w:tcBorders>
            <w:shd w:fill="F6F4EE" w:val="clear"/>
          </w:tcPr>
          <w:p>
            <w:r>
              <w:rPr>
                <w:b/>
                <w:bCs/>
                <w:color w:val="000000"/>
                <w:sz w:val="19"/>
                <w:szCs w:val="19"/>
              </w:rPr>
              <w:t xml:space="preserve">Expired stock</w:t>
            </w:r>
          </w:p>
        </w:tc>
        <w:tc>
          <w:tcPr>
            <w:tcW w:type="dxa" w:w="2325"/>
            <w:tcBorders>
              <w:top w:val="single" w:color="CCCCCC" w:sz="4"/>
              <w:left w:val="single" w:color="CCCCCC" w:sz="4"/>
              <w:bottom w:val="single" w:color="CCCCCC" w:sz="4"/>
              <w:right w:val="single" w:color="CCCCCC" w:sz="4"/>
            </w:tcBorders>
          </w:tcPr>
          <w:p>
            <w:r>
              <w:rPr>
                <w:b w:val="false"/>
                <w:bCs w:val="false"/>
                <w:color w:val="000000"/>
                <w:sz w:val="19"/>
                <w:szCs w:val="19"/>
              </w:rPr>
              <w:t xml:space="preserve">₦28.9M sitting across all 6 warehouses, 246 batches — the strongest actionable finding</w:t>
            </w:r>
          </w:p>
        </w:tc>
      </w:tr>
    </w:tbl>
    <w:p>
      <w:pPr>
        <w:spacing w:after="140" w:line="290"/>
      </w:pPr>
      <w:r>
        <w:rPr>
          <w:sz w:val="21"/>
          <w:szCs w:val="21"/>
        </w:rPr>
        <w:t xml:space="preserve"/>
      </w:r>
    </w:p>
    <w:p>
      <w:pPr>
        <w:spacing w:after="140" w:line="290"/>
      </w:pPr>
      <w:r>
        <w:rPr>
          <w:sz w:val="21"/>
          <w:szCs w:val="21"/>
        </w:rPr>
        <w:t xml:space="preserve">The expired-stock number is the one I'd lead with in a real business setting: every warehouse is carrying expired inventory, which points directly to a gap in rotation and expiry monitoring worth fixing.</w:t>
      </w:r>
    </w:p>
    <w:p>
      <w:pPr>
        <w:pStyle w:val="Heading1"/>
        <w:spacing w:after="120" w:before="280"/>
      </w:pPr>
      <w:r>
        <w:t xml:space="preserve">Takeaway</w:t>
      </w:r>
    </w:p>
    <w:p>
      <w:pPr>
        <w:spacing w:after="140" w:line="290"/>
      </w:pPr>
      <w:r>
        <w:rPr>
          <w:sz w:val="21"/>
          <w:szCs w:val="21"/>
        </w:rPr>
        <w:t xml:space="preserve">The schema and queries were the easy part. The real learning came from working through messy data by hand and debugging two data-generation bugs I introduced myself, with no dataset author to blame. That process — not the final numbers — is what I'd point to as the actual skill this project demonstrates.</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3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2026-07-26T15:11:36.131Z</dcterms:created>
  <dcterms:modified xsi:type="dcterms:W3CDTF">2026-07-26T15:11:36.144Z</dcterms:modified>
</cp:coreProperties>
</file>

<file path=docProps/custom.xml><?xml version="1.0" encoding="utf-8"?>
<Properties xmlns="http://schemas.openxmlformats.org/officeDocument/2006/custom-properties" xmlns:vt="http://schemas.openxmlformats.org/officeDocument/2006/docPropsVTypes"/>
</file>