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E277C">
      <w:pPr>
        <w:keepNext/>
        <w:spacing w:after="280"/>
        <w:jc w:val="both"/>
        <w:rPr>
          <w:rFonts w:ascii="Times New Roman" w:hAnsi="Times New Roman"/>
          <w:b/>
          <w:sz w:val="22"/>
          <w:szCs w:val="22"/>
        </w:rPr>
      </w:pPr>
      <w:r>
        <w:rPr>
          <w:rFonts w:ascii="Times New Roman" w:hAnsi="Times New Roman"/>
          <w:b/>
          <w:sz w:val="22"/>
          <w:szCs w:val="22"/>
        </w:rPr>
        <w:t>Table S4. Intra- and interobserver reliability of radiographic spinopelvic measurements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2DB63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left w:val="nil"/>
              <w:bottom w:val="single" w:color="auto" w:sz="4" w:space="0"/>
              <w:right w:val="nil"/>
              <w:tl2br w:val="nil"/>
            </w:tcBorders>
            <w:shd w:val="clear" w:color="auto" w:fill="FFFFFF"/>
            <w:vAlign w:val="center"/>
          </w:tcPr>
          <w:p w14:paraId="74FE9F53">
            <w:pPr>
              <w:keepNext w:val="0"/>
              <w:keepLines w:val="0"/>
              <w:widowControl/>
              <w:suppressLineNumbers w:val="0"/>
              <w:jc w:val="center"/>
              <w:textAlignment w:val="center"/>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bCs/>
                <w:i w:val="0"/>
                <w:iCs w:val="0"/>
                <w:color w:val="000000"/>
                <w:kern w:val="0"/>
                <w:sz w:val="18"/>
                <w:szCs w:val="18"/>
                <w:u w:val="none"/>
                <w:lang w:val="en-US" w:eastAsia="zh-CN" w:bidi="ar"/>
              </w:rPr>
              <w:t>Parameter</w:t>
            </w:r>
          </w:p>
        </w:tc>
        <w:tc>
          <w:tcPr>
            <w:tcW w:w="1217" w:type="dxa"/>
            <w:tcBorders>
              <w:left w:val="nil"/>
              <w:bottom w:val="single" w:color="auto" w:sz="4" w:space="0"/>
              <w:right w:val="nil"/>
            </w:tcBorders>
            <w:shd w:val="clear" w:color="auto" w:fill="FFFFFF"/>
            <w:vAlign w:val="center"/>
          </w:tcPr>
          <w:p w14:paraId="6BB14FE6">
            <w:pPr>
              <w:keepNext w:val="0"/>
              <w:keepLines w:val="0"/>
              <w:widowControl/>
              <w:suppressLineNumbers w:val="0"/>
              <w:jc w:val="center"/>
              <w:textAlignment w:val="center"/>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bCs/>
                <w:i w:val="0"/>
                <w:iCs w:val="0"/>
                <w:color w:val="000000"/>
                <w:kern w:val="0"/>
                <w:sz w:val="18"/>
                <w:szCs w:val="18"/>
                <w:u w:val="none"/>
                <w:lang w:val="en-US" w:eastAsia="zh-CN" w:bidi="ar"/>
              </w:rPr>
              <w:t>P1 intra ICC</w:t>
            </w:r>
          </w:p>
        </w:tc>
        <w:tc>
          <w:tcPr>
            <w:tcW w:w="1217" w:type="dxa"/>
            <w:tcBorders>
              <w:left w:val="nil"/>
              <w:bottom w:val="single" w:color="auto" w:sz="4" w:space="0"/>
              <w:right w:val="nil"/>
            </w:tcBorders>
            <w:shd w:val="clear" w:color="auto" w:fill="FFFFFF"/>
            <w:vAlign w:val="center"/>
          </w:tcPr>
          <w:p w14:paraId="5075F18E">
            <w:pPr>
              <w:keepNext w:val="0"/>
              <w:keepLines w:val="0"/>
              <w:widowControl/>
              <w:suppressLineNumbers w:val="0"/>
              <w:jc w:val="center"/>
              <w:textAlignment w:val="center"/>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bCs/>
                <w:i w:val="0"/>
                <w:iCs w:val="0"/>
                <w:color w:val="000000"/>
                <w:kern w:val="0"/>
                <w:sz w:val="18"/>
                <w:szCs w:val="18"/>
                <w:u w:val="none"/>
                <w:lang w:val="en-US" w:eastAsia="zh-CN" w:bidi="ar"/>
              </w:rPr>
              <w:t>P1 95% CI</w:t>
            </w:r>
          </w:p>
        </w:tc>
        <w:tc>
          <w:tcPr>
            <w:tcW w:w="1217" w:type="dxa"/>
            <w:tcBorders>
              <w:left w:val="nil"/>
              <w:bottom w:val="single" w:color="auto" w:sz="4" w:space="0"/>
              <w:right w:val="nil"/>
            </w:tcBorders>
            <w:shd w:val="clear" w:color="auto" w:fill="FFFFFF"/>
            <w:vAlign w:val="center"/>
          </w:tcPr>
          <w:p w14:paraId="19BD5096">
            <w:pPr>
              <w:keepNext w:val="0"/>
              <w:keepLines w:val="0"/>
              <w:widowControl/>
              <w:suppressLineNumbers w:val="0"/>
              <w:jc w:val="center"/>
              <w:textAlignment w:val="center"/>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bCs/>
                <w:i w:val="0"/>
                <w:iCs w:val="0"/>
                <w:color w:val="000000"/>
                <w:kern w:val="0"/>
                <w:sz w:val="18"/>
                <w:szCs w:val="18"/>
                <w:u w:val="none"/>
                <w:lang w:val="en-US" w:eastAsia="zh-CN" w:bidi="ar"/>
              </w:rPr>
              <w:t>P2 intra ICC</w:t>
            </w:r>
          </w:p>
        </w:tc>
        <w:tc>
          <w:tcPr>
            <w:tcW w:w="1218" w:type="dxa"/>
            <w:tcBorders>
              <w:left w:val="nil"/>
              <w:bottom w:val="single" w:color="auto" w:sz="4" w:space="0"/>
              <w:right w:val="nil"/>
            </w:tcBorders>
            <w:shd w:val="clear" w:color="auto" w:fill="FFFFFF"/>
            <w:vAlign w:val="center"/>
          </w:tcPr>
          <w:p w14:paraId="0F913179">
            <w:pPr>
              <w:keepNext w:val="0"/>
              <w:keepLines w:val="0"/>
              <w:widowControl/>
              <w:suppressLineNumbers w:val="0"/>
              <w:jc w:val="center"/>
              <w:textAlignment w:val="center"/>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bCs/>
                <w:i w:val="0"/>
                <w:iCs w:val="0"/>
                <w:color w:val="000000"/>
                <w:kern w:val="0"/>
                <w:sz w:val="18"/>
                <w:szCs w:val="18"/>
                <w:u w:val="none"/>
                <w:lang w:val="en-US" w:eastAsia="zh-CN" w:bidi="ar"/>
              </w:rPr>
              <w:t>P2 95% CI</w:t>
            </w:r>
          </w:p>
        </w:tc>
        <w:tc>
          <w:tcPr>
            <w:tcW w:w="1218" w:type="dxa"/>
            <w:tcBorders>
              <w:left w:val="nil"/>
              <w:bottom w:val="single" w:color="auto" w:sz="4" w:space="0"/>
              <w:right w:val="nil"/>
            </w:tcBorders>
            <w:shd w:val="clear" w:color="auto" w:fill="FFFFFF"/>
            <w:vAlign w:val="center"/>
          </w:tcPr>
          <w:p w14:paraId="22961E2E">
            <w:pPr>
              <w:keepNext w:val="0"/>
              <w:keepLines w:val="0"/>
              <w:widowControl/>
              <w:suppressLineNumbers w:val="0"/>
              <w:jc w:val="center"/>
              <w:textAlignment w:val="center"/>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bCs/>
                <w:i w:val="0"/>
                <w:iCs w:val="0"/>
                <w:color w:val="000000"/>
                <w:kern w:val="0"/>
                <w:sz w:val="18"/>
                <w:szCs w:val="18"/>
                <w:u w:val="none"/>
                <w:lang w:val="en-US" w:eastAsia="zh-CN" w:bidi="ar"/>
              </w:rPr>
              <w:t>Inter ICC</w:t>
            </w:r>
          </w:p>
        </w:tc>
        <w:tc>
          <w:tcPr>
            <w:tcW w:w="1218" w:type="dxa"/>
            <w:tcBorders>
              <w:left w:val="nil"/>
              <w:bottom w:val="single" w:color="auto" w:sz="4" w:space="0"/>
              <w:right w:val="nil"/>
            </w:tcBorders>
            <w:shd w:val="clear" w:color="auto" w:fill="FFFFFF"/>
            <w:vAlign w:val="center"/>
          </w:tcPr>
          <w:p w14:paraId="372F5E24">
            <w:pPr>
              <w:keepNext w:val="0"/>
              <w:keepLines w:val="0"/>
              <w:widowControl/>
              <w:suppressLineNumbers w:val="0"/>
              <w:jc w:val="center"/>
              <w:textAlignment w:val="center"/>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bCs/>
                <w:i w:val="0"/>
                <w:iCs w:val="0"/>
                <w:color w:val="000000"/>
                <w:kern w:val="0"/>
                <w:sz w:val="18"/>
                <w:szCs w:val="18"/>
                <w:u w:val="none"/>
                <w:lang w:val="en-US" w:eastAsia="zh-CN" w:bidi="ar"/>
              </w:rPr>
              <w:t>Inter 95% CI</w:t>
            </w:r>
          </w:p>
        </w:tc>
      </w:tr>
      <w:tr w14:paraId="423E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single" w:color="auto" w:sz="4" w:space="0"/>
              <w:left w:val="nil"/>
              <w:bottom w:val="nil"/>
              <w:right w:val="nil"/>
            </w:tcBorders>
            <w:shd w:val="clear" w:color="auto" w:fill="FFFFFF"/>
            <w:vAlign w:val="bottom"/>
          </w:tcPr>
          <w:p w14:paraId="397D2623">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CBD</w:t>
            </w:r>
          </w:p>
        </w:tc>
        <w:tc>
          <w:tcPr>
            <w:tcW w:w="1217" w:type="dxa"/>
            <w:tcBorders>
              <w:top w:val="single" w:color="auto" w:sz="4" w:space="0"/>
              <w:left w:val="nil"/>
              <w:bottom w:val="nil"/>
              <w:right w:val="nil"/>
            </w:tcBorders>
            <w:shd w:val="clear" w:color="auto" w:fill="FFFFFF"/>
            <w:vAlign w:val="bottom"/>
          </w:tcPr>
          <w:p w14:paraId="443189F7">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0.968</w:t>
            </w:r>
          </w:p>
        </w:tc>
        <w:tc>
          <w:tcPr>
            <w:tcW w:w="1217" w:type="dxa"/>
            <w:tcBorders>
              <w:top w:val="single" w:color="auto" w:sz="4" w:space="0"/>
              <w:left w:val="nil"/>
              <w:bottom w:val="nil"/>
              <w:right w:val="nil"/>
            </w:tcBorders>
            <w:shd w:val="clear" w:color="auto" w:fill="FFFFFF"/>
            <w:vAlign w:val="bottom"/>
          </w:tcPr>
          <w:p w14:paraId="3FCDF64E">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0.935–0.981</w:t>
            </w:r>
          </w:p>
        </w:tc>
        <w:tc>
          <w:tcPr>
            <w:tcW w:w="1217" w:type="dxa"/>
            <w:tcBorders>
              <w:top w:val="single" w:color="auto" w:sz="4" w:space="0"/>
              <w:left w:val="nil"/>
              <w:bottom w:val="nil"/>
              <w:right w:val="nil"/>
            </w:tcBorders>
            <w:shd w:val="clear" w:color="auto" w:fill="FFFFFF"/>
            <w:vAlign w:val="bottom"/>
          </w:tcPr>
          <w:p w14:paraId="16739A0C">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0.966</w:t>
            </w:r>
          </w:p>
        </w:tc>
        <w:tc>
          <w:tcPr>
            <w:tcW w:w="1218" w:type="dxa"/>
            <w:tcBorders>
              <w:top w:val="single" w:color="auto" w:sz="4" w:space="0"/>
              <w:left w:val="nil"/>
              <w:bottom w:val="nil"/>
              <w:right w:val="nil"/>
            </w:tcBorders>
            <w:shd w:val="clear" w:color="auto" w:fill="FFFFFF"/>
            <w:vAlign w:val="bottom"/>
          </w:tcPr>
          <w:p w14:paraId="56875E87">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0.925–0.981</w:t>
            </w:r>
          </w:p>
        </w:tc>
        <w:tc>
          <w:tcPr>
            <w:tcW w:w="1218" w:type="dxa"/>
            <w:tcBorders>
              <w:top w:val="single" w:color="auto" w:sz="4" w:space="0"/>
              <w:left w:val="nil"/>
              <w:bottom w:val="nil"/>
              <w:right w:val="nil"/>
            </w:tcBorders>
            <w:shd w:val="clear" w:color="auto" w:fill="FFFFFF"/>
            <w:vAlign w:val="bottom"/>
          </w:tcPr>
          <w:p w14:paraId="45F00F4B">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0.910</w:t>
            </w:r>
          </w:p>
        </w:tc>
        <w:tc>
          <w:tcPr>
            <w:tcW w:w="1218" w:type="dxa"/>
            <w:tcBorders>
              <w:top w:val="single" w:color="auto" w:sz="4" w:space="0"/>
              <w:left w:val="nil"/>
              <w:bottom w:val="nil"/>
              <w:right w:val="nil"/>
            </w:tcBorders>
            <w:shd w:val="clear" w:color="auto" w:fill="FFFFFF"/>
            <w:vAlign w:val="bottom"/>
          </w:tcPr>
          <w:p w14:paraId="2CC3A02F">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0.804–0.957</w:t>
            </w:r>
          </w:p>
        </w:tc>
      </w:tr>
      <w:tr w14:paraId="61F9B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bottom"/>
          </w:tcPr>
          <w:p w14:paraId="40A6E303">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Cobb</w:t>
            </w:r>
          </w:p>
        </w:tc>
        <w:tc>
          <w:tcPr>
            <w:tcW w:w="1217" w:type="dxa"/>
            <w:tcBorders>
              <w:top w:val="nil"/>
              <w:left w:val="nil"/>
              <w:bottom w:val="nil"/>
              <w:right w:val="nil"/>
            </w:tcBorders>
            <w:shd w:val="clear" w:color="auto" w:fill="FFFFFF"/>
            <w:vAlign w:val="bottom"/>
          </w:tcPr>
          <w:p w14:paraId="4A60A969">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0.966</w:t>
            </w:r>
          </w:p>
        </w:tc>
        <w:tc>
          <w:tcPr>
            <w:tcW w:w="1217" w:type="dxa"/>
            <w:tcBorders>
              <w:top w:val="nil"/>
              <w:left w:val="nil"/>
              <w:bottom w:val="nil"/>
              <w:right w:val="nil"/>
            </w:tcBorders>
            <w:shd w:val="clear" w:color="auto" w:fill="FFFFFF"/>
            <w:vAlign w:val="bottom"/>
          </w:tcPr>
          <w:p w14:paraId="61064366">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0.939–0.978</w:t>
            </w:r>
          </w:p>
        </w:tc>
        <w:tc>
          <w:tcPr>
            <w:tcW w:w="1217" w:type="dxa"/>
            <w:tcBorders>
              <w:top w:val="nil"/>
              <w:left w:val="nil"/>
              <w:bottom w:val="nil"/>
              <w:right w:val="nil"/>
            </w:tcBorders>
            <w:shd w:val="clear" w:color="auto" w:fill="FFFFFF"/>
            <w:vAlign w:val="bottom"/>
          </w:tcPr>
          <w:p w14:paraId="587FA447">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0.948</w:t>
            </w:r>
          </w:p>
        </w:tc>
        <w:tc>
          <w:tcPr>
            <w:tcW w:w="1218" w:type="dxa"/>
            <w:tcBorders>
              <w:top w:val="nil"/>
              <w:left w:val="nil"/>
              <w:bottom w:val="nil"/>
              <w:right w:val="nil"/>
            </w:tcBorders>
            <w:shd w:val="clear" w:color="auto" w:fill="FFFFFF"/>
            <w:vAlign w:val="bottom"/>
          </w:tcPr>
          <w:p w14:paraId="7CF9D72F">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0.897–0.972</w:t>
            </w:r>
          </w:p>
        </w:tc>
        <w:tc>
          <w:tcPr>
            <w:tcW w:w="1218" w:type="dxa"/>
            <w:tcBorders>
              <w:top w:val="nil"/>
              <w:left w:val="nil"/>
              <w:bottom w:val="nil"/>
              <w:right w:val="nil"/>
            </w:tcBorders>
            <w:shd w:val="clear" w:color="auto" w:fill="FFFFFF"/>
            <w:vAlign w:val="bottom"/>
          </w:tcPr>
          <w:p w14:paraId="7AB52039">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0.930</w:t>
            </w:r>
          </w:p>
        </w:tc>
        <w:tc>
          <w:tcPr>
            <w:tcW w:w="1218" w:type="dxa"/>
            <w:tcBorders>
              <w:top w:val="nil"/>
              <w:left w:val="nil"/>
              <w:bottom w:val="nil"/>
              <w:right w:val="nil"/>
            </w:tcBorders>
            <w:shd w:val="clear" w:color="auto" w:fill="FFFFFF"/>
            <w:vAlign w:val="bottom"/>
          </w:tcPr>
          <w:p w14:paraId="380E3EF9">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0.857–0.965</w:t>
            </w:r>
          </w:p>
        </w:tc>
      </w:tr>
      <w:tr w14:paraId="4A77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bottom"/>
          </w:tcPr>
          <w:p w14:paraId="67B9F740">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SVA</w:t>
            </w:r>
          </w:p>
        </w:tc>
        <w:tc>
          <w:tcPr>
            <w:tcW w:w="1217" w:type="dxa"/>
            <w:tcBorders>
              <w:top w:val="nil"/>
              <w:left w:val="nil"/>
              <w:bottom w:val="nil"/>
              <w:right w:val="nil"/>
            </w:tcBorders>
            <w:shd w:val="clear" w:color="auto" w:fill="FFFFFF"/>
            <w:vAlign w:val="bottom"/>
          </w:tcPr>
          <w:p w14:paraId="23D57011">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0.952</w:t>
            </w:r>
          </w:p>
        </w:tc>
        <w:tc>
          <w:tcPr>
            <w:tcW w:w="1217" w:type="dxa"/>
            <w:tcBorders>
              <w:top w:val="nil"/>
              <w:left w:val="nil"/>
              <w:bottom w:val="nil"/>
              <w:right w:val="nil"/>
            </w:tcBorders>
            <w:shd w:val="clear" w:color="auto" w:fill="FFFFFF"/>
            <w:vAlign w:val="bottom"/>
          </w:tcPr>
          <w:p w14:paraId="7CF2E8A4">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0.897–0.974</w:t>
            </w:r>
          </w:p>
        </w:tc>
        <w:tc>
          <w:tcPr>
            <w:tcW w:w="1217" w:type="dxa"/>
            <w:tcBorders>
              <w:top w:val="nil"/>
              <w:left w:val="nil"/>
              <w:bottom w:val="nil"/>
              <w:right w:val="nil"/>
            </w:tcBorders>
            <w:shd w:val="clear" w:color="auto" w:fill="FFFFFF"/>
            <w:vAlign w:val="bottom"/>
          </w:tcPr>
          <w:p w14:paraId="57EC062F">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0.966</w:t>
            </w:r>
          </w:p>
        </w:tc>
        <w:tc>
          <w:tcPr>
            <w:tcW w:w="1218" w:type="dxa"/>
            <w:tcBorders>
              <w:top w:val="nil"/>
              <w:left w:val="nil"/>
              <w:bottom w:val="nil"/>
              <w:right w:val="nil"/>
            </w:tcBorders>
            <w:shd w:val="clear" w:color="auto" w:fill="FFFFFF"/>
            <w:vAlign w:val="bottom"/>
          </w:tcPr>
          <w:p w14:paraId="1480703B">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0.936–0.980</w:t>
            </w:r>
          </w:p>
        </w:tc>
        <w:tc>
          <w:tcPr>
            <w:tcW w:w="1218" w:type="dxa"/>
            <w:tcBorders>
              <w:top w:val="nil"/>
              <w:left w:val="nil"/>
              <w:bottom w:val="nil"/>
              <w:right w:val="nil"/>
            </w:tcBorders>
            <w:shd w:val="clear" w:color="auto" w:fill="FFFFFF"/>
            <w:vAlign w:val="bottom"/>
          </w:tcPr>
          <w:p w14:paraId="0F5C181B">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0.941</w:t>
            </w:r>
          </w:p>
        </w:tc>
        <w:tc>
          <w:tcPr>
            <w:tcW w:w="1218" w:type="dxa"/>
            <w:tcBorders>
              <w:top w:val="nil"/>
              <w:left w:val="nil"/>
              <w:bottom w:val="nil"/>
              <w:right w:val="nil"/>
            </w:tcBorders>
            <w:shd w:val="clear" w:color="auto" w:fill="FFFFFF"/>
            <w:vAlign w:val="bottom"/>
          </w:tcPr>
          <w:p w14:paraId="29E2C656">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0.867–0.974</w:t>
            </w:r>
          </w:p>
        </w:tc>
      </w:tr>
      <w:tr w14:paraId="545C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bottom"/>
          </w:tcPr>
          <w:p w14:paraId="3A074723">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LL</w:t>
            </w:r>
          </w:p>
        </w:tc>
        <w:tc>
          <w:tcPr>
            <w:tcW w:w="1217" w:type="dxa"/>
            <w:tcBorders>
              <w:top w:val="nil"/>
              <w:left w:val="nil"/>
              <w:bottom w:val="nil"/>
              <w:right w:val="nil"/>
            </w:tcBorders>
            <w:shd w:val="clear" w:color="auto" w:fill="FFFFFF"/>
            <w:vAlign w:val="bottom"/>
          </w:tcPr>
          <w:p w14:paraId="203AAD42">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0.965</w:t>
            </w:r>
          </w:p>
        </w:tc>
        <w:tc>
          <w:tcPr>
            <w:tcW w:w="1217" w:type="dxa"/>
            <w:tcBorders>
              <w:top w:val="nil"/>
              <w:left w:val="nil"/>
              <w:bottom w:val="nil"/>
              <w:right w:val="nil"/>
            </w:tcBorders>
            <w:shd w:val="clear" w:color="auto" w:fill="FFFFFF"/>
            <w:vAlign w:val="bottom"/>
          </w:tcPr>
          <w:p w14:paraId="4FD80245">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0.929–0.978</w:t>
            </w:r>
          </w:p>
        </w:tc>
        <w:tc>
          <w:tcPr>
            <w:tcW w:w="1217" w:type="dxa"/>
            <w:tcBorders>
              <w:top w:val="nil"/>
              <w:left w:val="nil"/>
              <w:bottom w:val="nil"/>
              <w:right w:val="nil"/>
            </w:tcBorders>
            <w:shd w:val="clear" w:color="auto" w:fill="FFFFFF"/>
            <w:vAlign w:val="bottom"/>
          </w:tcPr>
          <w:p w14:paraId="2062B695">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0.965</w:t>
            </w:r>
          </w:p>
        </w:tc>
        <w:tc>
          <w:tcPr>
            <w:tcW w:w="1218" w:type="dxa"/>
            <w:tcBorders>
              <w:top w:val="nil"/>
              <w:left w:val="nil"/>
              <w:bottom w:val="nil"/>
              <w:right w:val="nil"/>
            </w:tcBorders>
            <w:shd w:val="clear" w:color="auto" w:fill="FFFFFF"/>
            <w:vAlign w:val="bottom"/>
          </w:tcPr>
          <w:p w14:paraId="27704550">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0.933–0.977</w:t>
            </w:r>
          </w:p>
        </w:tc>
        <w:tc>
          <w:tcPr>
            <w:tcW w:w="1218" w:type="dxa"/>
            <w:tcBorders>
              <w:top w:val="nil"/>
              <w:left w:val="nil"/>
              <w:bottom w:val="nil"/>
              <w:right w:val="nil"/>
            </w:tcBorders>
            <w:shd w:val="clear" w:color="auto" w:fill="FFFFFF"/>
            <w:vAlign w:val="bottom"/>
          </w:tcPr>
          <w:p w14:paraId="5FFCCC29">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0.942</w:t>
            </w:r>
          </w:p>
        </w:tc>
        <w:tc>
          <w:tcPr>
            <w:tcW w:w="1218" w:type="dxa"/>
            <w:tcBorders>
              <w:top w:val="nil"/>
              <w:left w:val="nil"/>
              <w:bottom w:val="nil"/>
              <w:right w:val="nil"/>
            </w:tcBorders>
            <w:shd w:val="clear" w:color="auto" w:fill="FFFFFF"/>
            <w:vAlign w:val="bottom"/>
          </w:tcPr>
          <w:p w14:paraId="249DBB67">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0.882–0.967</w:t>
            </w:r>
          </w:p>
        </w:tc>
      </w:tr>
      <w:tr w14:paraId="4C4D6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bottom"/>
          </w:tcPr>
          <w:p w14:paraId="5E105096">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PI–LL</w:t>
            </w:r>
          </w:p>
        </w:tc>
        <w:tc>
          <w:tcPr>
            <w:tcW w:w="1217" w:type="dxa"/>
            <w:tcBorders>
              <w:top w:val="nil"/>
              <w:left w:val="nil"/>
              <w:bottom w:val="nil"/>
              <w:right w:val="nil"/>
            </w:tcBorders>
            <w:shd w:val="clear" w:color="auto" w:fill="FFFFFF"/>
            <w:vAlign w:val="bottom"/>
          </w:tcPr>
          <w:p w14:paraId="5E4D5298">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0.970</w:t>
            </w:r>
          </w:p>
        </w:tc>
        <w:tc>
          <w:tcPr>
            <w:tcW w:w="1217" w:type="dxa"/>
            <w:tcBorders>
              <w:top w:val="nil"/>
              <w:left w:val="nil"/>
              <w:bottom w:val="nil"/>
              <w:right w:val="nil"/>
            </w:tcBorders>
            <w:shd w:val="clear" w:color="auto" w:fill="FFFFFF"/>
            <w:vAlign w:val="bottom"/>
          </w:tcPr>
          <w:p w14:paraId="74A033B1">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0.939–0.982</w:t>
            </w:r>
          </w:p>
        </w:tc>
        <w:tc>
          <w:tcPr>
            <w:tcW w:w="1217" w:type="dxa"/>
            <w:tcBorders>
              <w:top w:val="nil"/>
              <w:left w:val="nil"/>
              <w:bottom w:val="nil"/>
              <w:right w:val="nil"/>
            </w:tcBorders>
            <w:shd w:val="clear" w:color="auto" w:fill="FFFFFF"/>
            <w:vAlign w:val="bottom"/>
          </w:tcPr>
          <w:p w14:paraId="287BB49D">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0.971</w:t>
            </w:r>
          </w:p>
        </w:tc>
        <w:tc>
          <w:tcPr>
            <w:tcW w:w="1218" w:type="dxa"/>
            <w:tcBorders>
              <w:top w:val="nil"/>
              <w:left w:val="nil"/>
              <w:bottom w:val="nil"/>
              <w:right w:val="nil"/>
            </w:tcBorders>
            <w:shd w:val="clear" w:color="auto" w:fill="FFFFFF"/>
            <w:vAlign w:val="bottom"/>
          </w:tcPr>
          <w:p w14:paraId="0B0530E6">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0.943–0.981</w:t>
            </w:r>
          </w:p>
        </w:tc>
        <w:tc>
          <w:tcPr>
            <w:tcW w:w="1218" w:type="dxa"/>
            <w:tcBorders>
              <w:top w:val="nil"/>
              <w:left w:val="nil"/>
              <w:bottom w:val="nil"/>
              <w:right w:val="nil"/>
            </w:tcBorders>
            <w:shd w:val="clear" w:color="auto" w:fill="FFFFFF"/>
            <w:vAlign w:val="bottom"/>
          </w:tcPr>
          <w:p w14:paraId="35C4A949">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0.963</w:t>
            </w:r>
          </w:p>
        </w:tc>
        <w:tc>
          <w:tcPr>
            <w:tcW w:w="1218" w:type="dxa"/>
            <w:tcBorders>
              <w:top w:val="nil"/>
              <w:left w:val="nil"/>
              <w:bottom w:val="nil"/>
              <w:right w:val="nil"/>
            </w:tcBorders>
            <w:shd w:val="clear" w:color="auto" w:fill="FFFFFF"/>
            <w:vAlign w:val="bottom"/>
          </w:tcPr>
          <w:p w14:paraId="33CE7D1D">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0.918–0.980</w:t>
            </w:r>
          </w:p>
        </w:tc>
      </w:tr>
      <w:tr w14:paraId="1F517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bottom w:val="nil"/>
              <w:right w:val="nil"/>
            </w:tcBorders>
            <w:shd w:val="clear" w:color="auto" w:fill="FFFFFF"/>
            <w:vAlign w:val="bottom"/>
          </w:tcPr>
          <w:p w14:paraId="401F89BF">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SS</w:t>
            </w:r>
          </w:p>
        </w:tc>
        <w:tc>
          <w:tcPr>
            <w:tcW w:w="1217" w:type="dxa"/>
            <w:tcBorders>
              <w:top w:val="nil"/>
              <w:left w:val="nil"/>
              <w:bottom w:val="nil"/>
              <w:right w:val="nil"/>
            </w:tcBorders>
            <w:shd w:val="clear" w:color="auto" w:fill="FFFFFF"/>
            <w:vAlign w:val="bottom"/>
          </w:tcPr>
          <w:p w14:paraId="56F580D2">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0.937</w:t>
            </w:r>
          </w:p>
        </w:tc>
        <w:tc>
          <w:tcPr>
            <w:tcW w:w="1217" w:type="dxa"/>
            <w:tcBorders>
              <w:top w:val="nil"/>
              <w:left w:val="nil"/>
              <w:bottom w:val="nil"/>
              <w:right w:val="nil"/>
            </w:tcBorders>
            <w:shd w:val="clear" w:color="auto" w:fill="FFFFFF"/>
            <w:vAlign w:val="bottom"/>
          </w:tcPr>
          <w:p w14:paraId="165ACB43">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0.881–0.964</w:t>
            </w:r>
          </w:p>
        </w:tc>
        <w:tc>
          <w:tcPr>
            <w:tcW w:w="1217" w:type="dxa"/>
            <w:tcBorders>
              <w:top w:val="nil"/>
              <w:left w:val="nil"/>
              <w:bottom w:val="nil"/>
              <w:right w:val="nil"/>
            </w:tcBorders>
            <w:shd w:val="clear" w:color="auto" w:fill="FFFFFF"/>
            <w:vAlign w:val="bottom"/>
          </w:tcPr>
          <w:p w14:paraId="2D79DB5E">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0.951</w:t>
            </w:r>
          </w:p>
        </w:tc>
        <w:tc>
          <w:tcPr>
            <w:tcW w:w="1218" w:type="dxa"/>
            <w:tcBorders>
              <w:top w:val="nil"/>
              <w:left w:val="nil"/>
              <w:bottom w:val="nil"/>
              <w:right w:val="nil"/>
            </w:tcBorders>
            <w:shd w:val="clear" w:color="auto" w:fill="FFFFFF"/>
            <w:vAlign w:val="bottom"/>
          </w:tcPr>
          <w:p w14:paraId="7C8CA70A">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0.915–0.969</w:t>
            </w:r>
          </w:p>
        </w:tc>
        <w:tc>
          <w:tcPr>
            <w:tcW w:w="1218" w:type="dxa"/>
            <w:tcBorders>
              <w:top w:val="nil"/>
              <w:left w:val="nil"/>
              <w:bottom w:val="nil"/>
              <w:right w:val="nil"/>
            </w:tcBorders>
            <w:shd w:val="clear" w:color="auto" w:fill="FFFFFF"/>
            <w:vAlign w:val="bottom"/>
          </w:tcPr>
          <w:p w14:paraId="3AE2E962">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0.887</w:t>
            </w:r>
          </w:p>
        </w:tc>
        <w:tc>
          <w:tcPr>
            <w:tcW w:w="1218" w:type="dxa"/>
            <w:tcBorders>
              <w:top w:val="nil"/>
              <w:left w:val="nil"/>
              <w:bottom w:val="nil"/>
              <w:right w:val="nil"/>
            </w:tcBorders>
            <w:shd w:val="clear" w:color="auto" w:fill="FFFFFF"/>
            <w:vAlign w:val="bottom"/>
          </w:tcPr>
          <w:p w14:paraId="115988BF">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0.795–0.943</w:t>
            </w:r>
          </w:p>
        </w:tc>
      </w:tr>
      <w:tr w14:paraId="26E4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Borders>
              <w:top w:val="nil"/>
              <w:left w:val="nil"/>
              <w:right w:val="nil"/>
            </w:tcBorders>
            <w:shd w:val="clear" w:color="auto" w:fill="FFFFFF"/>
            <w:vAlign w:val="bottom"/>
          </w:tcPr>
          <w:p w14:paraId="3391D214">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PT</w:t>
            </w:r>
          </w:p>
        </w:tc>
        <w:tc>
          <w:tcPr>
            <w:tcW w:w="1217" w:type="dxa"/>
            <w:tcBorders>
              <w:top w:val="nil"/>
              <w:left w:val="nil"/>
              <w:right w:val="nil"/>
            </w:tcBorders>
            <w:shd w:val="clear" w:color="auto" w:fill="FFFFFF"/>
            <w:vAlign w:val="bottom"/>
          </w:tcPr>
          <w:p w14:paraId="29A50CD2">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0.968</w:t>
            </w:r>
          </w:p>
        </w:tc>
        <w:tc>
          <w:tcPr>
            <w:tcW w:w="1217" w:type="dxa"/>
            <w:tcBorders>
              <w:top w:val="nil"/>
              <w:left w:val="nil"/>
              <w:right w:val="nil"/>
            </w:tcBorders>
            <w:shd w:val="clear" w:color="auto" w:fill="FFFFFF"/>
            <w:vAlign w:val="bottom"/>
          </w:tcPr>
          <w:p w14:paraId="346CEFCB">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0.943–0.980</w:t>
            </w:r>
          </w:p>
        </w:tc>
        <w:tc>
          <w:tcPr>
            <w:tcW w:w="1217" w:type="dxa"/>
            <w:tcBorders>
              <w:top w:val="nil"/>
              <w:left w:val="nil"/>
              <w:right w:val="nil"/>
            </w:tcBorders>
            <w:shd w:val="clear" w:color="auto" w:fill="FFFFFF"/>
            <w:vAlign w:val="bottom"/>
          </w:tcPr>
          <w:p w14:paraId="3D0E294C">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0.979</w:t>
            </w:r>
          </w:p>
        </w:tc>
        <w:tc>
          <w:tcPr>
            <w:tcW w:w="1218" w:type="dxa"/>
            <w:tcBorders>
              <w:top w:val="nil"/>
              <w:left w:val="nil"/>
              <w:right w:val="nil"/>
            </w:tcBorders>
            <w:shd w:val="clear" w:color="auto" w:fill="FFFFFF"/>
            <w:vAlign w:val="bottom"/>
          </w:tcPr>
          <w:p w14:paraId="25BAD31D">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0.965–0.986</w:t>
            </w:r>
          </w:p>
        </w:tc>
        <w:tc>
          <w:tcPr>
            <w:tcW w:w="1218" w:type="dxa"/>
            <w:tcBorders>
              <w:top w:val="nil"/>
              <w:left w:val="nil"/>
              <w:right w:val="nil"/>
            </w:tcBorders>
            <w:shd w:val="clear" w:color="auto" w:fill="FFFFFF"/>
            <w:vAlign w:val="bottom"/>
          </w:tcPr>
          <w:p w14:paraId="71D20DD6">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0.936</w:t>
            </w:r>
          </w:p>
        </w:tc>
        <w:tc>
          <w:tcPr>
            <w:tcW w:w="1218" w:type="dxa"/>
            <w:tcBorders>
              <w:top w:val="nil"/>
              <w:left w:val="nil"/>
              <w:right w:val="nil"/>
            </w:tcBorders>
            <w:shd w:val="clear" w:color="auto" w:fill="FFFFFF"/>
            <w:vAlign w:val="bottom"/>
          </w:tcPr>
          <w:p w14:paraId="6549A7D8">
            <w:pPr>
              <w:keepNext w:val="0"/>
              <w:keepLines w:val="0"/>
              <w:widowControl/>
              <w:suppressLineNumbers w:val="0"/>
              <w:jc w:val="center"/>
              <w:textAlignment w:val="bottom"/>
              <w:rPr>
                <w:rFonts w:hint="default" w:ascii="Times New Roman" w:hAnsi="Times New Roman" w:cs="Times New Roman"/>
                <w:b w:val="0"/>
                <w:color w:val="000000"/>
                <w:sz w:val="16"/>
                <w:szCs w:val="20"/>
                <w:vertAlign w:val="baseline"/>
              </w:rPr>
            </w:pPr>
            <w:r>
              <w:rPr>
                <w:rFonts w:hint="default" w:ascii="Times New Roman" w:hAnsi="Times New Roman" w:eastAsia="Carlito" w:cs="Times New Roman"/>
                <w:b w:val="0"/>
                <w:i w:val="0"/>
                <w:iCs w:val="0"/>
                <w:color w:val="000000"/>
                <w:kern w:val="0"/>
                <w:sz w:val="18"/>
                <w:szCs w:val="18"/>
                <w:u w:val="none"/>
                <w:lang w:val="en-US" w:eastAsia="zh-CN" w:bidi="ar"/>
              </w:rPr>
              <w:t>0.879–0.964</w:t>
            </w:r>
          </w:p>
        </w:tc>
      </w:tr>
    </w:tbl>
    <w:p w14:paraId="4DAE5D35">
      <w:pPr>
        <w:pStyle w:val="2"/>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Note:</w:t>
      </w:r>
      <w:r>
        <w:rPr>
          <w:rFonts w:hint="default" w:ascii="Times New Roman" w:hAnsi="Times New Roman" w:cs="Times New Roman"/>
          <w:sz w:val="20"/>
          <w:szCs w:val="20"/>
        </w:rPr>
        <w:t xml:space="preserve"> P1 and P2 represent the two experienced spine surgeons. Intraobserver ICCs were calculated separately using three repeated measurements by each surgeon. Interobserver ICCs were calculated using the mean of three measurements obtained by each surgeon. ICC, intraclass correlation coefficient; CI, confidence interval; CBD, coronal balance distance; Cobb, coronal Cobb angle; SVA, sagittal vertical axis; LL, lumbar lordosis; PI–LL, pelvic incidence–lumbar lordosis mismatch; SS, sacral slope; PT, pelvic tilt.</w:t>
      </w:r>
    </w:p>
    <w:p w14:paraId="035730A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rlito">
    <w:altName w:val="FFont-Family"/>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672A08"/>
    <w:rsid w:val="2D672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2026-10-25T18:34:00Z</dcterms:created>
  <dc:creator>U</dc:creator>
  <cp:lastModifiedBy>U</cp:lastModifiedBy>
  <dcterms:modified xsi:type="dcterms:W3CDTF">2026-10-25T18:35:16Z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AA0BBBAD7FA5499E9C25C14BCF317D7D_11</vt:lpwstr>
  </property>
  <property fmtid="{D5CDD505-2E9C-101B-9397-08002B2CF9AE}" pid="4" name="KSOTemplateDocerSaveRecord">
    <vt:lpwstr>eyJoZGlkIjoiMWRjM2QyNjhiNzM0MDAyYzA4ZWU1OTc1OTY5ZmVmNDgiLCJ1c2VySWQiOiIzMzg1MTQ2NjUifQ==</vt:lpwstr>
  </property>
</Properties>
</file>