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72AA" w14:textId="77777777" w:rsidR="00363D82" w:rsidRPr="00363D82" w:rsidRDefault="00363D82" w:rsidP="00363D82">
      <w:pPr>
        <w:pStyle w:val="NormalWeb"/>
        <w:shd w:val="clear" w:color="auto" w:fill="FFFFFF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r w:rsidRPr="001458CD">
        <w:rPr>
          <w:rFonts w:ascii="Arial" w:hAnsi="Arial" w:cs="Arial"/>
          <w:color w:val="000000" w:themeColor="text1"/>
          <w:sz w:val="44"/>
          <w:szCs w:val="44"/>
          <w:highlight w:val="yellow"/>
        </w:rPr>
        <w:t>Deutsche Bank has once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again cemented its position as a financing and credit trading powerhouse, ranking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darkCyan"/>
        </w:rPr>
        <w:t>number one in Asia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magenta"/>
        </w:rPr>
        <w:t>Pacific for Financing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and Credit Trading for 2021, according to Coalition*.</w:t>
      </w:r>
    </w:p>
    <w:p w14:paraId="082EC4B8" w14:textId="77777777" w:rsidR="00363D82" w:rsidRPr="00363D82" w:rsidRDefault="00363D82" w:rsidP="00363D82">
      <w:pPr>
        <w:pStyle w:val="NormalWeb"/>
        <w:shd w:val="clear" w:color="auto" w:fill="FFFFFF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Deutsche Bank regained the top position in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green"/>
        </w:rPr>
        <w:t>Financing, capturing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a significant share across its peer set. This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yellow"/>
        </w:rPr>
        <w:t>ranking reflects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the best-in-class approach to risk management over many years and the business growth achieved across all of Asia Pacific in 2021. This has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red"/>
        </w:rPr>
        <w:t>been driven by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increased collaboration across the bank, greater share of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yellow"/>
        </w:rPr>
        <w:t>financial sponsors business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>, expansion of the corporate client base and demonstrating leadership in providing ESG financing solutions.</w:t>
      </w:r>
    </w:p>
    <w:p w14:paraId="053D7BF9" w14:textId="77777777" w:rsidR="00363D82" w:rsidRPr="00363D82" w:rsidRDefault="00363D82" w:rsidP="00363D82">
      <w:pPr>
        <w:pStyle w:val="NormalWeb"/>
        <w:shd w:val="clear" w:color="auto" w:fill="FFFFFF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Deutsche Bank continued to play a key role in widening access to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green"/>
        </w:rPr>
        <w:t>the market, by leading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transactions for 25% of new borrowers in the region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red"/>
        </w:rPr>
        <w:t>. Deutsche Bank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was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magenta"/>
        </w:rPr>
        <w:t>also mandated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in a sole capacity for over 40% of its </w:t>
      </w:r>
      <w:r w:rsidRPr="001458CD">
        <w:rPr>
          <w:rFonts w:ascii="Arial" w:hAnsi="Arial" w:cs="Arial"/>
          <w:color w:val="000000" w:themeColor="text1"/>
          <w:sz w:val="44"/>
          <w:szCs w:val="44"/>
          <w:highlight w:val="darkCyan"/>
        </w:rPr>
        <w:t>transactions throughout</w:t>
      </w:r>
      <w:r w:rsidRPr="00363D82">
        <w:rPr>
          <w:rFonts w:ascii="Arial" w:hAnsi="Arial" w:cs="Arial"/>
          <w:color w:val="000000" w:themeColor="text1"/>
          <w:sz w:val="44"/>
          <w:szCs w:val="44"/>
        </w:rPr>
        <w:t xml:space="preserve"> the year, evidencing client confidence in the bank’s expertise and its strength in execution.</w:t>
      </w:r>
    </w:p>
    <w:p w14:paraId="6C696180" w14:textId="77777777" w:rsidR="00231A2D" w:rsidRDefault="001458CD"/>
    <w:sectPr w:rsidR="00231A2D" w:rsidSect="00536C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82"/>
    <w:rsid w:val="001458CD"/>
    <w:rsid w:val="00363D82"/>
    <w:rsid w:val="00536CCC"/>
    <w:rsid w:val="005D46E9"/>
    <w:rsid w:val="0071672C"/>
    <w:rsid w:val="00885211"/>
    <w:rsid w:val="00A6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865BE"/>
  <w15:chartTrackingRefBased/>
  <w15:docId w15:val="{F6DD7634-68BA-D240-B0BF-DA60020D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D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2022-04-24T21:32:00Z</dcterms:created>
  <dcterms:modified xsi:type="dcterms:W3CDTF">2022-04-24T21:34:00Z</dcterms:modified>
</cp:coreProperties>
</file>