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56D99">
      <w:pPr>
        <w:spacing w:after="0" w:line="240" w:lineRule="auto"/>
      </w:pPr>
      <w:bookmarkStart w:id="0" w:name="_GoBack"/>
      <w:bookmarkEnd w:id="0"/>
      <w:r>
        <w:rPr>
          <w:rFonts w:ascii="Cambria" w:hAnsi="Cambria"/>
          <w:u w:val="single"/>
        </w:rPr>
        <w:t>Protein Sequence - coded only by mRNA sequence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7118350" cy="1797050"/>
            <wp:effectExtent l="0" t="0" r="6350" b="12700"/>
            <wp:docPr id="1" name="Picture 30" descr="Machine generated alternative text:&#10;a,VN8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hine generated alternative text:&#10;a,VN81 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color w:val="595959"/>
          <w:sz w:val="18"/>
          <w:szCs w:val="18"/>
          <w:lang w:val="x-none"/>
        </w:rPr>
        <w:t>Screen clipping taken: 2016-04-13 12:14 AM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  <w:sz w:val="50"/>
          <w:szCs w:val="50"/>
        </w:rPr>
        <w:t>INITIATION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Codon Recognition by tRNA Anticodon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tRNA molecules recognize more than one codon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Translation II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b/>
          <w:bCs/>
        </w:rPr>
        <w:t xml:space="preserve">wobble </w:t>
      </w:r>
      <w:r>
        <w:rPr>
          <w:rFonts w:ascii="Cambria" w:hAnsi="Cambria"/>
          <w:b/>
          <w:bCs/>
        </w:rPr>
        <w:t>hypothesis</w:t>
      </w:r>
      <w:r>
        <w:rPr>
          <w:rFonts w:ascii="Cambria" w:hAnsi="Cambria"/>
        </w:rPr>
        <w:t xml:space="preserve"> (Crick) : </w:t>
      </w:r>
    </w:p>
    <w:p w:rsidR="00000000" w:rsidRDefault="00956D99">
      <w:pPr>
        <w:spacing w:after="0" w:line="240" w:lineRule="auto"/>
        <w:ind w:left="108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(first two codon bases &amp; last two anticodon) bases form Watson-Crick base pairs</w:t>
      </w:r>
    </w:p>
    <w:p w:rsidR="00000000" w:rsidRDefault="00956D99">
      <w:pPr>
        <w:spacing w:after="0" w:line="240" w:lineRule="auto"/>
        <w:ind w:left="108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BUT pairing between (3rd base of codon &amp; first base of anticodon) follows less stringent rules</w:t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b/>
          <w:bCs/>
        </w:rPr>
        <w:t>Inosine</w:t>
      </w:r>
      <w:r>
        <w:rPr>
          <w:rFonts w:ascii="Cambria" w:hAnsi="Cambria"/>
        </w:rPr>
        <w:t xml:space="preserve"> - appears in several anticodons &amp;</w:t>
      </w:r>
      <w:r>
        <w:rPr>
          <w:rFonts w:ascii="Cambria" w:hAnsi="Cambria"/>
        </w:rPr>
        <w:t xml:space="preserve"> can be read by tRNA molecule</w:t>
      </w:r>
    </w:p>
    <w:p w:rsidR="00000000" w:rsidRDefault="00956D99">
      <w:pPr>
        <w:spacing w:after="0" w:line="240" w:lineRule="auto"/>
        <w:ind w:left="162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 xml:space="preserve">maximizes # codons by allowing </w:t>
      </w:r>
      <w:r>
        <w:rPr>
          <w:rFonts w:ascii="Cambria" w:hAnsi="Cambria"/>
          <w:b/>
          <w:bCs/>
        </w:rPr>
        <w:t>steric freedom</w:t>
      </w:r>
      <w:r>
        <w:rPr>
          <w:rFonts w:ascii="Cambria" w:hAnsi="Cambria"/>
        </w:rPr>
        <w:t xml:space="preserve"> / wobble of 3rd base of codon</w:t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  <w:noProof/>
        </w:rPr>
        <w:drawing>
          <wp:inline distT="0" distB="0" distL="0" distR="0">
            <wp:extent cx="4521200" cy="4298950"/>
            <wp:effectExtent l="0" t="0" r="12700" b="6350"/>
            <wp:docPr id="2" name="Picture 29" descr="Machine generated alternative text:&#10;o &#10;('e # ofcodons &#10;read by a tRNA &#10;Appears in several &#10;ribose &#10;Inos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hine generated alternative text:&#10;o &#10;('e # ofcodons &#10;read by a tRNA &#10;Appears in several &#10;ribose &#10;Inosine 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  <w:noProof/>
        </w:rPr>
        <w:drawing>
          <wp:inline distT="0" distB="0" distL="0" distR="0">
            <wp:extent cx="3810000" cy="3270250"/>
            <wp:effectExtent l="0" t="0" r="0" b="6350"/>
            <wp:docPr id="3" name="Picture 28" descr="Machine generated alternative text:&#10;TABLE 30.3 &#10;Base on the &#10;Anticodon &#10;c &#10;Base-Pairing Possibilities &#10;at the Third Position of &#10;the Codon &#10;Bases Recognized &#10;on the Cod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hine generated alternative text:&#10;TABLE 30.3 &#10;Base on the &#10;Anticodon &#10;c &#10;Base-Pairing Possibilities &#10;at the Third Position of &#10;the Codon &#10;Bases Recognized &#10;on the Codon 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  <w:color w:val="595959"/>
          <w:sz w:val="18"/>
          <w:szCs w:val="18"/>
          <w:lang w:val="x-none"/>
        </w:rPr>
        <w:t>Screen clipping taken: 2016-04-13 12:21 AM</w:t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Example. Anticodon for yeast tRNA(Ala) is 5'-IGC-3', which recognizes codons 5'-3' GCU, GCC, GCA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  <w:lang w:val="x-none"/>
        </w:rPr>
        <w:t>I on anticodon recognizes G,C,A on codon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  <w:ind w:left="2160"/>
      </w:pPr>
      <w:r>
        <w:rPr>
          <w:rFonts w:ascii="Cambria" w:hAnsi="Cambria"/>
          <w:noProof/>
        </w:rPr>
        <w:drawing>
          <wp:inline distT="0" distB="0" distL="0" distR="0">
            <wp:extent cx="1828800" cy="2501900"/>
            <wp:effectExtent l="0" t="0" r="0" b="12700"/>
            <wp:docPr id="4" name="Picture 27" descr="Machine generated alternative text:&#10;о.....н—х &#10;о.....н—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&#10;о.....н—х &#10;о.....н—х 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color w:val="595959"/>
          <w:sz w:val="18"/>
          <w:szCs w:val="18"/>
          <w:lang w:val="x-none"/>
        </w:rPr>
        <w:t>Screen clipping taken: 2016-04-13 12:22 AM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2 Gene</w:t>
      </w:r>
      <w:r>
        <w:rPr>
          <w:rFonts w:ascii="Cambria" w:hAnsi="Cambria"/>
          <w:u w:val="single"/>
        </w:rPr>
        <w:t>ralizations: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codons differ in either of first 2 bases must be recognized by different tRNAs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first base of anticodon determines whether tRNA reads 1, 2, 3 kinds of codons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16S rRNA</w:t>
      </w:r>
      <w:r>
        <w:rPr>
          <w:rFonts w:ascii="Cambria" w:hAnsi="Cambria"/>
        </w:rPr>
        <w:t xml:space="preserve"> - monitors base paring between codon &amp; anticodon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</w:rPr>
        <w:t>i.e. 16S</w:t>
      </w:r>
      <w:r>
        <w:rPr>
          <w:rFonts w:ascii="Cambria" w:hAnsi="Cambria"/>
        </w:rPr>
        <w:t xml:space="preserve"> RNA A1493, A1492, G530 monitors: Anticodon A36 &amp; Codon U1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16S RNA A1493, A1492</w:t>
      </w:r>
      <w:r>
        <w:rPr>
          <w:rFonts w:ascii="Cambria" w:hAnsi="Cambria"/>
        </w:rPr>
        <w:t xml:space="preserve"> - proofread codon/anticodon pairs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Prokaryotes: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Translation Initiation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  <w:b/>
          <w:bCs/>
        </w:rPr>
        <w:t>initiation factors</w:t>
      </w:r>
      <w:r>
        <w:rPr>
          <w:rFonts w:ascii="Cambria" w:hAnsi="Cambria"/>
        </w:rPr>
        <w:t xml:space="preserve"> - </w:t>
      </w:r>
      <w:r>
        <w:rPr>
          <w:rFonts w:ascii="Cambria" w:hAnsi="Cambria"/>
          <w:b/>
          <w:bCs/>
        </w:rPr>
        <w:t xml:space="preserve">P-loop NTPases </w:t>
      </w:r>
      <w:r>
        <w:rPr>
          <w:rFonts w:ascii="Cambria" w:hAnsi="Cambria"/>
        </w:rPr>
        <w:t>(G protein) which aid assembly of:</w:t>
      </w:r>
    </w:p>
    <w:p w:rsidR="00000000" w:rsidRDefault="00956D99">
      <w:pPr>
        <w:spacing w:after="0" w:line="240" w:lineRule="auto"/>
        <w:ind w:left="2160" w:hanging="360"/>
        <w:textAlignment w:val="center"/>
      </w:pPr>
      <w:r>
        <w:rPr>
          <w:rFonts w:ascii="Cambria" w:hAnsi="Cambria"/>
        </w:rP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 xml:space="preserve">30S initiation complex </w:t>
      </w:r>
    </w:p>
    <w:p w:rsidR="00000000" w:rsidRDefault="00956D99">
      <w:pPr>
        <w:spacing w:after="0" w:line="240" w:lineRule="auto"/>
        <w:ind w:left="2160" w:hanging="360"/>
        <w:textAlignment w:val="center"/>
      </w:pPr>
      <w:r>
        <w:rPr>
          <w:rFonts w:ascii="Cambria" w:hAnsi="Cambria"/>
        </w:rP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70S initiation complex by recruiting 50S complex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noProof/>
        </w:rPr>
        <w:drawing>
          <wp:inline distT="0" distB="0" distL="0" distR="0">
            <wp:extent cx="6953250" cy="2705100"/>
            <wp:effectExtent l="0" t="0" r="0" b="0"/>
            <wp:docPr id="5" name="Picture 26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color w:val="595959"/>
          <w:sz w:val="18"/>
          <w:szCs w:val="18"/>
        </w:rPr>
        <w:t>Screen clipping taken: 2016-04-12 9:30 PM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Events in Peptide Chain initiation: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  <w:b/>
          <w:bCs/>
        </w:rPr>
        <w:t>30S Subunit = {IF-3, IF-1}</w:t>
      </w:r>
      <w:r>
        <w:rPr>
          <w:rFonts w:ascii="Cambria" w:hAnsi="Cambria"/>
        </w:rPr>
        <w:t xml:space="preserve"> - prevents premature joining of 50S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 xml:space="preserve">add in </w:t>
      </w:r>
      <w:r>
        <w:rPr>
          <w:rFonts w:ascii="Cambria" w:hAnsi="Cambria"/>
          <w:b/>
          <w:bCs/>
        </w:rPr>
        <w:t xml:space="preserve">N-formyl-Methionine-IF2 + </w:t>
      </w:r>
      <w:r>
        <w:rPr>
          <w:rFonts w:ascii="Cambria" w:hAnsi="Cambria"/>
          <w:b/>
          <w:bCs/>
          <w:shd w:val="clear" w:color="auto" w:fill="FFFF00"/>
        </w:rPr>
        <w:t>*GTP*</w:t>
      </w:r>
      <w:r>
        <w:rPr>
          <w:rFonts w:ascii="Cambria" w:hAnsi="Cambria"/>
          <w:b/>
          <w:bCs/>
        </w:rPr>
        <w:t xml:space="preserve">  </w:t>
      </w:r>
      <w:r>
        <w:rPr>
          <w:rFonts w:ascii="Cambria" w:hAnsi="Cambria"/>
        </w:rPr>
        <w:t xml:space="preserve">on </w:t>
      </w:r>
      <w:r>
        <w:rPr>
          <w:rFonts w:ascii="Cambria" w:hAnsi="Cambria"/>
          <w:b/>
          <w:bCs/>
        </w:rPr>
        <w:t>Shine-Dalgarno Sequence</w:t>
      </w:r>
      <w:r>
        <w:rPr>
          <w:rFonts w:ascii="Cambria" w:hAnsi="Cambria"/>
        </w:rPr>
        <w:t xml:space="preserve"> on mRNA before </w:t>
      </w:r>
      <w:r>
        <w:rPr>
          <w:rFonts w:ascii="Cambria" w:hAnsi="Cambria"/>
          <w:b/>
          <w:bCs/>
        </w:rPr>
        <w:t>AUG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(2) complex bindsn ear A site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  <w:b/>
          <w:bCs/>
        </w:rPr>
        <w:t xml:space="preserve">IF-2 </w:t>
      </w:r>
      <w:r>
        <w:rPr>
          <w:rFonts w:ascii="Cambria" w:hAnsi="Cambria"/>
        </w:rPr>
        <w:t>stimulates association of 50S to complex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5.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  <w:b/>
          <w:bCs/>
        </w:rPr>
        <w:t xml:space="preserve">IF-2, GDP, P, IF-1, IF-3 </w:t>
      </w:r>
      <w:r>
        <w:rPr>
          <w:rFonts w:ascii="Cambria" w:hAnsi="Cambria"/>
        </w:rPr>
        <w:t xml:space="preserve">leave, leaving </w:t>
      </w:r>
      <w:r>
        <w:rPr>
          <w:rFonts w:ascii="Cambria" w:hAnsi="Cambria"/>
          <w:b/>
          <w:bCs/>
        </w:rPr>
        <w:t>N-formyl-Met-UAC</w:t>
      </w:r>
      <w:r>
        <w:rPr>
          <w:rFonts w:ascii="Cambria" w:hAnsi="Cambria"/>
        </w:rPr>
        <w:t xml:space="preserve"> in </w:t>
      </w:r>
      <w:r>
        <w:rPr>
          <w:rFonts w:ascii="Cambria" w:hAnsi="Cambria"/>
          <w:b/>
          <w:bCs/>
        </w:rPr>
        <w:t>P site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6.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ready of elongation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3733800" cy="2019300"/>
            <wp:effectExtent l="0" t="0" r="0" b="0"/>
            <wp:docPr id="6" name="Picture 25" descr="Machine generated alternative text:&#10;Prevents premature joining of SOS &#10;seq uence &#10;Binds near the A si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&#10;Prevents premature joining of SOS &#10;seq uence &#10;Binds near the A site 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32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3695700" cy="2463800"/>
            <wp:effectExtent l="0" t="0" r="0" b="12700"/>
            <wp:docPr id="7" name="Picture 24" descr="Machine generated alternative text:&#10;Ready for &#10;elo ngation &#10;8 &#10;Stimulares rhe &#10;association of rhe &#10;SOS to me comple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&#10;Ready for &#10;elo ngation &#10;8 &#10;Stimulares rhe &#10;association of rhe &#10;SOS to me complex 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  <w:sz w:val="50"/>
          <w:szCs w:val="50"/>
        </w:rPr>
        <w:t>ELONGATION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Elongation Factors</w:t>
      </w:r>
      <w:r>
        <w:rPr>
          <w:rFonts w:ascii="Cambria" w:hAnsi="Cambria"/>
        </w:rPr>
        <w:t xml:space="preserve"> - deliver amino acyl tRNAs to ribosome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EF-Tu, Guanine nucleotide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EF-Tu Binding to Amino Acyl tRNA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 xml:space="preserve">EF-Tu </w:t>
      </w:r>
      <w:r>
        <w:rPr>
          <w:rFonts w:ascii="Cambria" w:hAnsi="Cambria"/>
          <w:b/>
          <w:bCs/>
        </w:rPr>
        <w:t>protects ester linkage</w:t>
      </w:r>
      <w:r>
        <w:rPr>
          <w:rFonts w:ascii="Cambria" w:hAnsi="Cambria"/>
        </w:rPr>
        <w:t xml:space="preserve"> in Amino Acyl tRNA from Hydrolysis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GTP hydrolysis in EF-Tu occurs only when appropriate base paring occurs with codon-anticodon</w:t>
      </w:r>
    </w:p>
    <w:p w:rsidR="00000000" w:rsidRDefault="00956D99">
      <w:pPr>
        <w:spacing w:after="0" w:line="240" w:lineRule="auto"/>
        <w:ind w:left="108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 xml:space="preserve">allows free energy of </w:t>
      </w:r>
      <w:r>
        <w:rPr>
          <w:rFonts w:ascii="Cambria" w:hAnsi="Cambria"/>
          <w:b/>
          <w:bCs/>
        </w:rPr>
        <w:t>GTP hydrolysis</w:t>
      </w:r>
      <w:r>
        <w:rPr>
          <w:rFonts w:ascii="Cambria" w:hAnsi="Cambria"/>
          <w:b/>
          <w:bCs/>
        </w:rPr>
        <w:t xml:space="preserve"> to contribute fidelity</w:t>
      </w:r>
      <w:r>
        <w:rPr>
          <w:rFonts w:ascii="Cambria" w:hAnsi="Cambria"/>
        </w:rPr>
        <w:t xml:space="preserve"> of protein synthesis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 xml:space="preserve">EF-Tu will </w:t>
      </w:r>
      <w:r>
        <w:rPr>
          <w:rFonts w:ascii="Cambria" w:hAnsi="Cambria"/>
          <w:b/>
          <w:bCs/>
        </w:rPr>
        <w:t xml:space="preserve">not interact with fMEt-tRNAf 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  <w:b/>
          <w:bCs/>
        </w:rPr>
        <w:t>IF2</w:t>
      </w:r>
      <w:r>
        <w:rPr>
          <w:rFonts w:ascii="Cambria" w:hAnsi="Cambria"/>
        </w:rPr>
        <w:t xml:space="preserve"> will </w:t>
      </w:r>
      <w:r>
        <w:rPr>
          <w:rFonts w:ascii="Cambria" w:hAnsi="Cambria"/>
          <w:b/>
          <w:bCs/>
        </w:rPr>
        <w:t>only recognize fMet-tRNAf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Cycling of EF-Tu-GTP</w:t>
      </w:r>
      <w:r>
        <w:rPr>
          <w:rFonts w:ascii="Cambria" w:hAnsi="Cambria"/>
        </w:rPr>
        <w:t xml:space="preserve"> - similar to G protein receptor Cycle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5118100" cy="4864100"/>
            <wp:effectExtent l="0" t="0" r="6350" b="12700"/>
            <wp:docPr id="8" name="Picture 23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color w:val="595959"/>
          <w:sz w:val="18"/>
          <w:szCs w:val="18"/>
        </w:rPr>
        <w:t>Screen clipping taken: 2016-04-12 9:43 PM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 xml:space="preserve">Translocation Mechanism 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EF-G binds 50S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GTP Hydrolysis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 xml:space="preserve">Conformational change in EF-G 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 xml:space="preserve">tRNA &amp; mRNA forced </w:t>
      </w:r>
      <w:r>
        <w:rPr>
          <w:rFonts w:ascii="Cambria" w:hAnsi="Cambria"/>
        </w:rPr>
        <w:t>to move through ribosome by distance of 1 codon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5.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  <w:b/>
          <w:bCs/>
        </w:rPr>
        <w:t>EF-G Translocase</w:t>
      </w:r>
      <w:r>
        <w:rPr>
          <w:rFonts w:ascii="Cambria" w:hAnsi="Cambria"/>
        </w:rPr>
        <w:t xml:space="preserve"> dissociates, leaving ribosome ready to accept next amino acyl tRNA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noProof/>
        </w:rPr>
        <w:drawing>
          <wp:inline distT="0" distB="0" distL="0" distR="0">
            <wp:extent cx="6953250" cy="6108700"/>
            <wp:effectExtent l="0" t="0" r="0" b="6350"/>
            <wp:docPr id="9" name="Picture 22" descr="Machine generated alternative text:&#10;4kXA &#10;cept th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&#10;4kXA &#10;cept the 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color w:val="595959"/>
          <w:sz w:val="18"/>
          <w:szCs w:val="18"/>
        </w:rPr>
        <w:t>Screen clipping taken: 2016-04-12 9:44 PM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u w:val="single"/>
        </w:rPr>
        <w:t>Elongation Factors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noProof/>
        </w:rPr>
        <w:drawing>
          <wp:inline distT="0" distB="0" distL="0" distR="0">
            <wp:extent cx="6915150" cy="2159000"/>
            <wp:effectExtent l="0" t="0" r="0" b="12700"/>
            <wp:docPr id="10" name="Picture 21" descr="Machine generated alternative text:&#10;TABLE 30 8 &#10;Factor &#10;EF-Tu &#10;EF.Ts &#10;Properties of E coli Elongation Factors &#10;Mass (ED) &#10;43 &#10;Molecules/CeIl &#10;70 &#10;10000 &#10;Function &#10;G protein that binds aminoacyI-tRNA and &#10;delivers it to the A site &#10;Guanine•nucleotide exchange factor (GEF) that &#10;replaces GDP on r,F-Tu with GTP &#10;G protein that promotes translocation of mRN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&#10;TABLE 30 8 &#10;Factor &#10;EF-Tu &#10;EF.Ts &#10;Properties of E coli Elongation Factors &#10;Mass (ED) &#10;43 &#10;Molecules/CeIl &#10;70 &#10;10000 &#10;Function &#10;G protein that binds aminoacyI-tRNA and &#10;delivers it to the A site &#10;Guanine•nucleotide exchange factor (GEF) that &#10;replaces GDP on r,F-Tu with GTP &#10;G protein that promotes translocation of mRNA 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b/>
          <w:bCs/>
        </w:rPr>
        <w:t>G protein</w:t>
      </w:r>
      <w:r>
        <w:rPr>
          <w:rFonts w:ascii="Cambria" w:hAnsi="Cambria"/>
        </w:rPr>
        <w:t xml:space="preserve"> - heterotrimers that bind guanine nucleotides</w:t>
      </w:r>
      <w:r>
        <w:rPr>
          <w:rFonts w:ascii="Cambria" w:hAnsi="Cambria"/>
        </w:rPr>
        <w:t xml:space="preserve"> GDP &amp; GTP</w:t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  <w:b/>
          <w:bCs/>
        </w:rPr>
        <w:t>EF-Tu</w:t>
      </w:r>
      <w:r>
        <w:rPr>
          <w:rFonts w:ascii="Cambria" w:hAnsi="Cambria"/>
        </w:rPr>
        <w:t xml:space="preserve"> - G protein that binds aminoacyl-tRNA &amp; delivers to A site</w:t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  <w:b/>
          <w:bCs/>
        </w:rPr>
        <w:t>EF-Ts</w:t>
      </w:r>
      <w:r>
        <w:rPr>
          <w:rFonts w:ascii="Cambria" w:hAnsi="Cambria"/>
        </w:rPr>
        <w:t xml:space="preserve"> - Guanine nucleotide exchange factor (GEF) that replaces GDP on EF-Tu with GTP</w:t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  <w:b/>
          <w:bCs/>
        </w:rPr>
        <w:t>EF-G</w:t>
      </w:r>
      <w:r>
        <w:rPr>
          <w:rFonts w:ascii="Cambria" w:hAnsi="Cambria"/>
        </w:rPr>
        <w:t xml:space="preserve"> - G protein that promotes translocation of mRNA to accept next amino acid</w:t>
      </w:r>
    </w:p>
    <w:p w:rsidR="00000000" w:rsidRDefault="00956D99">
      <w:pPr>
        <w:spacing w:after="0" w:line="240" w:lineRule="auto"/>
        <w:ind w:left="162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structur</w:t>
      </w:r>
      <w:r>
        <w:rPr>
          <w:rFonts w:ascii="Cambria" w:hAnsi="Cambria"/>
        </w:rPr>
        <w:t>e resembles EF-Tu + tRNA</w:t>
      </w:r>
    </w:p>
    <w:p w:rsidR="00000000" w:rsidRDefault="00956D99">
      <w:pPr>
        <w:spacing w:after="0" w:line="240" w:lineRule="auto"/>
        <w:ind w:left="1620"/>
      </w:pPr>
      <w:r>
        <w:rPr>
          <w:rFonts w:ascii="Cambria" w:hAnsi="Cambria"/>
          <w:noProof/>
        </w:rPr>
        <w:drawing>
          <wp:inline distT="0" distB="0" distL="0" distR="0">
            <wp:extent cx="3079750" cy="2120900"/>
            <wp:effectExtent l="0" t="0" r="6350" b="12700"/>
            <wp:docPr id="11" name="Picture 20" descr="Machine generated alternative text:&#10;lucleotlde &#10;Guanine , • &#10;Aminoacyl- &#10;nudeotide &#10;Guan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&#10;lucleotlde &#10;Guanine , • &#10;Aminoacyl- &#10;nudeotide &#10;Guanine 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1620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  <w:sz w:val="50"/>
          <w:szCs w:val="50"/>
        </w:rPr>
        <w:t>TERMINATION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Translation Termination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if STOP codon i.e.</w:t>
      </w:r>
      <w:r>
        <w:rPr>
          <w:rFonts w:ascii="Cambria" w:hAnsi="Cambria"/>
          <w:b/>
          <w:bCs/>
        </w:rPr>
        <w:t xml:space="preserve"> UAA, UGA, UAG</w:t>
      </w:r>
      <w:r>
        <w:rPr>
          <w:rFonts w:ascii="Cambria" w:hAnsi="Cambria"/>
        </w:rPr>
        <w:t>: Amino Acyl tRNA doesn't bind to A site</w:t>
      </w:r>
    </w:p>
    <w:p w:rsidR="00000000" w:rsidRDefault="00956D99">
      <w:pPr>
        <w:spacing w:after="0" w:line="240" w:lineRule="auto"/>
        <w:ind w:left="1080"/>
      </w:pPr>
      <w:r>
        <w:rPr>
          <w:rFonts w:ascii="Cambria" w:hAnsi="Cambria"/>
        </w:rPr>
        <w:t xml:space="preserve"> - recognized by </w:t>
      </w:r>
      <w:r>
        <w:rPr>
          <w:rFonts w:ascii="Cambria" w:hAnsi="Cambria"/>
          <w:b/>
          <w:bCs/>
        </w:rPr>
        <w:t>release factors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Termination / Release Factor</w:t>
      </w:r>
      <w:r>
        <w:rPr>
          <w:rFonts w:ascii="Cambria" w:hAnsi="Cambria"/>
        </w:rPr>
        <w:t xml:space="preserve"> - contain water for Hydrolysis of polypeptide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  <w:b/>
          <w:bCs/>
        </w:rPr>
        <w:t>RF1 / RF2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recognize stop codons (UAA &amp; UGA) in A site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</w:rPr>
        <w:t xml:space="preserve">&amp; </w:t>
      </w:r>
      <w:r>
        <w:rPr>
          <w:rFonts w:ascii="Cambria" w:hAnsi="Cambria"/>
          <w:b/>
          <w:bCs/>
        </w:rPr>
        <w:t>RF-3</w:t>
      </w:r>
      <w:r>
        <w:rPr>
          <w:rFonts w:ascii="Cambria" w:hAnsi="Cambria"/>
        </w:rPr>
        <w:t xml:space="preserve"> - binds GTP &amp; stimulates RF1 &amp; RF2 binding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stimulates release of completed protein from tRNA in P site</w:t>
      </w:r>
    </w:p>
    <w:p w:rsidR="00000000" w:rsidRDefault="00956D99">
      <w:pPr>
        <w:spacing w:after="0" w:line="240" w:lineRule="auto"/>
        <w:ind w:left="108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entire complex dissociated in GTP-dependent fashion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5657850" cy="7442200"/>
            <wp:effectExtent l="0" t="0" r="0" b="6350"/>
            <wp:docPr id="12" name="Picture 19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5410200" cy="8293100"/>
            <wp:effectExtent l="0" t="0" r="0" b="12700"/>
            <wp:docPr id="13" name="Picture 18" descr="Machine generated alternative text:&#10;Uncharged [RNA &#10;Inactive 70S ritn»ome• &#10;ntire complex is dissociated in &#10;GTP-dependent fash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Uncharged [RNA &#10;Inactive 70S ritn»ome• &#10;ntire complex is dissociated in &#10;GTP-dependent fashion 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  <w:sz w:val="50"/>
          <w:szCs w:val="50"/>
        </w:rPr>
        <w:t xml:space="preserve">EUKARYOTIC VS PROKARYOTIC PROTEIN SYNTHESIS 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difference primarily in translation initiation</w:t>
      </w:r>
    </w:p>
    <w:p w:rsidR="00000000" w:rsidRDefault="00956D99">
      <w:pPr>
        <w:spacing w:after="0" w:line="240" w:lineRule="auto"/>
        <w:ind w:left="108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initiator tRNA is methionine &amp; not formyl-Met</w:t>
      </w:r>
    </w:p>
    <w:p w:rsidR="00000000" w:rsidRDefault="00956D99">
      <w:pPr>
        <w:spacing w:after="0" w:line="240" w:lineRule="auto"/>
        <w:ind w:left="108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initi</w:t>
      </w:r>
      <w:r>
        <w:rPr>
          <w:rFonts w:ascii="Cambria" w:hAnsi="Cambria"/>
        </w:rPr>
        <w:t>ator codon always AUG (nearest to the 5' end of mRNA)</w:t>
      </w:r>
    </w:p>
    <w:p w:rsidR="00000000" w:rsidRDefault="00956D99">
      <w:pPr>
        <w:spacing w:after="0" w:line="240" w:lineRule="auto"/>
        <w:ind w:left="108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scanning process powered by ATP Hydrolysis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Eukaryotes: Initiation: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7207250" cy="4121150"/>
            <wp:effectExtent l="0" t="0" r="12700" b="12700"/>
            <wp:docPr id="14" name="Picture 17" descr="Machine generated alternative text:&#10;elF1 &#10;Stage 2 &#10;3 &#10;*Initiator tRNA is methionine and not &#10;Formyl-Met. &#10;AU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elF1 &#10;Stage 2 &#10;3 &#10;*Initiator tRNA is methionine and not &#10;Formyl-Met. &#10;AUG 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7175500" cy="4591050"/>
            <wp:effectExtent l="0" t="0" r="6350" b="0"/>
            <wp:docPr id="15" name="Picture 16" descr="Machine generated alternative text:&#10;S'4•e &#10;Scanning &#10;process po wered &#10;by ATP hydrolysis &#10;5 &#10;Initiator codon is always AUG, &#10;typically the first nearest the &#10;5 'end of mRNA. &#10;AUG &#10;04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S'4•e &#10;Scanning &#10;process po wered &#10;by ATP hydrolysis &#10;5 &#10;Initiator codon is always AUG, &#10;typically the first nearest the &#10;5 'end of mRNA. &#10;AUG &#10;04 I 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7277100" cy="3765550"/>
            <wp:effectExtent l="0" t="0" r="0" b="6350"/>
            <wp:docPr id="16" name="Picture 15" descr="Machine generated alternative text:&#10;Size &#10;elF4B: &#10;initiation &#10;Met - [RNA. to &#10;Met-I RNA, &#10;in of RNA &#10;and mRNA bimfing &#10;mRNA RNA &#10;mRNA &#10;RNA; A RNA mRNA bimling &#10;mRNA &#10;&quot;ABP &#10;mRNA: RNA mRNA to IOS &#10;40s Mßjoi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Size &#10;elF4B: &#10;initiation &#10;Met - [RNA. to &#10;Met-I RNA, &#10;in of RNA &#10;and mRNA bimfing &#10;mRNA RNA &#10;mRNA &#10;RNA; A RNA mRNA bimling &#10;mRNA &#10;&quot;ABP &#10;mRNA: RNA mRNA to IOS &#10;40s Mßjoining 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  <w:lang w:val="x-none"/>
        </w:rPr>
        <w:t xml:space="preserve">Protein Interactions: </w:t>
      </w:r>
      <w:r>
        <w:rPr>
          <w:rFonts w:ascii="Cambria" w:hAnsi="Cambria"/>
          <w:b/>
          <w:bCs/>
          <w:u w:val="single"/>
          <w:lang w:val="x-none"/>
        </w:rPr>
        <w:t>Circularize Eukaryotic mRNA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  <w:lang w:val="x-none"/>
        </w:rPr>
        <w:t xml:space="preserve">Poly A binding protein </w:t>
      </w:r>
      <w:r>
        <w:rPr>
          <w:rFonts w:ascii="Cambria" w:hAnsi="Cambria"/>
          <w:lang w:val="en-US"/>
        </w:rPr>
        <w:t>binds to cap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  <w:lang w:val="x-none"/>
        </w:rPr>
        <w:t></w:t>
      </w:r>
      <w:r>
        <w:rPr>
          <w:rFonts w:ascii="Times New Roman" w:hAnsi="Times New Roman"/>
          <w:sz w:val="14"/>
          <w:szCs w:val="14"/>
          <w:lang w:val="x-none"/>
        </w:rPr>
        <w:t xml:space="preserve">       </w:t>
      </w:r>
      <w:r>
        <w:rPr>
          <w:rFonts w:ascii="Cambria" w:hAnsi="Cambria"/>
          <w:lang w:val="x-none"/>
        </w:rPr>
        <w:t>enhances ribosomal recycling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noProof/>
        </w:rPr>
        <w:drawing>
          <wp:inline distT="0" distB="0" distL="0" distR="0">
            <wp:extent cx="5257800" cy="3238500"/>
            <wp:effectExtent l="0" t="0" r="0" b="0"/>
            <wp:docPr id="17" name="Picture 14" descr="Machine generated alternative text:&#10;(Poly binding Protein &#10;AUG &#10;Binds to c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(Poly binding Protein &#10;AUG &#10;Binds to cap 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color w:val="595959"/>
          <w:sz w:val="18"/>
          <w:szCs w:val="18"/>
          <w:lang w:val="x-none"/>
        </w:rPr>
        <w:t>Screen clipping taken: 2016-04-13 12:51 AM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>Euka</w:t>
      </w:r>
      <w:r>
        <w:rPr>
          <w:rFonts w:ascii="Cambria" w:hAnsi="Cambria"/>
          <w:u w:val="single"/>
        </w:rPr>
        <w:t>ryotes: Translocation &amp; Termination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EF1 alpha and beta-gamma = EF-Tu and EF-Ts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EF2 - mediates GTP driven translocation (EF-G)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Cambria" w:hAnsi="Cambria"/>
        </w:rP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termination carried out by single RF (</w:t>
      </w:r>
      <w:r>
        <w:rPr>
          <w:rFonts w:ascii="Cambria" w:hAnsi="Cambria"/>
          <w:b/>
          <w:bCs/>
        </w:rPr>
        <w:t>eRF1</w:t>
      </w:r>
      <w:r>
        <w:rPr>
          <w:rFonts w:ascii="Cambria" w:hAnsi="Cambria"/>
        </w:rPr>
        <w:t xml:space="preserve"> - recognizes 3 stop codons)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u w:val="single"/>
        </w:rPr>
        <w:t xml:space="preserve">Antibiotics: Interfere </w:t>
      </w:r>
      <w:r>
        <w:rPr>
          <w:rFonts w:ascii="Cambria" w:hAnsi="Cambria"/>
          <w:u w:val="single"/>
        </w:rPr>
        <w:t>with Translation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Streptomycin</w:t>
      </w:r>
      <w:r>
        <w:rPr>
          <w:rFonts w:ascii="Cambria" w:hAnsi="Cambria"/>
        </w:rPr>
        <w:t xml:space="preserve"> - inhibit initiation &amp; cause prokaryotic mRNA misreading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highly basic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interferes with fMet-tRNAf binding , preventing initiation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noProof/>
        </w:rPr>
        <w:drawing>
          <wp:inline distT="0" distB="0" distL="0" distR="0">
            <wp:extent cx="3333750" cy="4197350"/>
            <wp:effectExtent l="0" t="0" r="0" b="12700"/>
            <wp:docPr id="18" name="Picture 13" descr="Machine generated alternative text:&#10;ř\H2 &#10;NH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ř\H2 &#10;NH2 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color w:val="595959"/>
          <w:sz w:val="18"/>
          <w:szCs w:val="18"/>
          <w:lang w:val="x-none"/>
        </w:rPr>
        <w:t>Screen clipping taken: 2016-04-12 10:08 PM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Tetrac</w:t>
      </w:r>
      <w:r>
        <w:rPr>
          <w:rFonts w:ascii="Cambria" w:hAnsi="Cambria"/>
          <w:b/>
          <w:bCs/>
        </w:rPr>
        <w:t>ycline</w:t>
      </w:r>
      <w:r>
        <w:rPr>
          <w:rFonts w:ascii="Cambria" w:hAnsi="Cambria"/>
        </w:rPr>
        <w:t xml:space="preserve"> - binds to 30S subunit &amp; inhibits aminoacyl-tRNA binding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Chloramphenicol</w:t>
      </w:r>
      <w:r>
        <w:rPr>
          <w:rFonts w:ascii="Cambria" w:hAnsi="Cambria"/>
        </w:rPr>
        <w:t xml:space="preserve"> - inhibits peptidyl transferase activity of 50S ribosomal subunit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Erythromycin</w:t>
      </w:r>
      <w:r>
        <w:rPr>
          <w:rFonts w:ascii="Cambria" w:hAnsi="Cambria"/>
        </w:rPr>
        <w:t xml:space="preserve"> - binds to 50S subunit &amp; inhibits translocation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Eukaryotes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Cycloheximide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- inhibites peptidyl transferase activity of 60S ribosomal subunit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Both</w:t>
      </w:r>
    </w:p>
    <w:p w:rsidR="00000000" w:rsidRDefault="00956D99">
      <w:pPr>
        <w:spacing w:after="0" w:line="240" w:lineRule="auto"/>
      </w:pPr>
      <w:r>
        <w:rPr>
          <w:rFonts w:ascii="Cambria" w:hAnsi="Cambria"/>
          <w:b/>
          <w:bCs/>
        </w:rPr>
        <w:t>Puromycin</w:t>
      </w:r>
      <w:r>
        <w:rPr>
          <w:rFonts w:ascii="Cambria" w:hAnsi="Cambria"/>
        </w:rPr>
        <w:t xml:space="preserve"> - causes premature chain termination by acting as analog of aminoacyl-tRNA</w:t>
      </w:r>
    </w:p>
    <w:p w:rsidR="00000000" w:rsidRDefault="00956D99">
      <w:pPr>
        <w:spacing w:after="0" w:line="240" w:lineRule="auto"/>
        <w:ind w:left="540" w:hanging="360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Cambria" w:hAnsi="Cambria"/>
        </w:rPr>
        <w:t>analog of terminal amino acyl A part of amino acyl tRNA - dissociated from ribosome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noProof/>
        </w:rPr>
        <w:drawing>
          <wp:inline distT="0" distB="0" distL="0" distR="0">
            <wp:extent cx="6134100" cy="4324350"/>
            <wp:effectExtent l="0" t="0" r="0" b="0"/>
            <wp:docPr id="19" name="Picture 12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color w:val="595959"/>
          <w:sz w:val="18"/>
          <w:szCs w:val="18"/>
          <w:lang w:val="x-none"/>
        </w:rPr>
        <w:t>Screen clipping taken: 2016-04-12 10:08 PM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noProof/>
        </w:rPr>
        <w:drawing>
          <wp:inline distT="0" distB="0" distL="0" distR="0">
            <wp:extent cx="7042150" cy="3619500"/>
            <wp:effectExtent l="0" t="0" r="6350" b="0"/>
            <wp:docPr id="20" name="Picture 11" descr="Machine generated alternative text:&#10;Antibiotics Interfering With Translation &#10;Aminoacyl•tRNA &#10;H &#10;Hic &#10;OH &#10;NH2 &#10;Puromyc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Antibiotics Interfering With Translation &#10;Aminoacyl•tRNA &#10;H &#10;Hic &#10;OH &#10;NH2 &#10;Puromycin 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color w:val="595959"/>
          <w:sz w:val="18"/>
          <w:szCs w:val="18"/>
          <w:lang w:val="x-none"/>
        </w:rPr>
        <w:t>Screen clipping taken: 2016-04-12 10:08 PM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  <w:ind w:left="540"/>
      </w:pPr>
      <w:r>
        <w:rPr>
          <w:rFonts w:ascii="Cambria" w:hAnsi="Cambria"/>
          <w:lang w:val="x-none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000000" w:rsidRDefault="00956D99">
      <w:pPr>
        <w:spacing w:after="0" w:line="240" w:lineRule="auto"/>
      </w:pPr>
      <w:r>
        <w:rPr>
          <w:rFonts w:ascii="Cambria" w:hAnsi="Cambria"/>
        </w:rPr>
        <w:t> </w:t>
      </w:r>
    </w:p>
    <w:p w:rsidR="00956D99" w:rsidRDefault="00956D99">
      <w:r>
        <w:rPr>
          <w:lang w:val="en-US"/>
        </w:rPr>
        <w:t> </w:t>
      </w:r>
    </w:p>
    <w:sectPr w:rsidR="00956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B69B4"/>
    <w:rsid w:val="0066738D"/>
    <w:rsid w:val="00956D99"/>
    <w:rsid w:val="009B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59A6B-AD01-4CE3-8C2F-0846D63E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CA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Chloe\Documents\chldn\Translation_II_files\image005.jpg" TargetMode="External"/><Relationship Id="rId13" Type="http://schemas.openxmlformats.org/officeDocument/2006/relationships/image" Target="file:///C:\Users\Chloe\Documents\chldn\Translation_II_files\image010.jpg" TargetMode="External"/><Relationship Id="rId18" Type="http://schemas.openxmlformats.org/officeDocument/2006/relationships/image" Target="file:///C:\Users\Chloe\Documents\chldn\Translation_II_files\image015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file:///C:\Users\Chloe\Documents\chldn\Translation_II_files\image018.jpg" TargetMode="External"/><Relationship Id="rId7" Type="http://schemas.openxmlformats.org/officeDocument/2006/relationships/image" Target="file:///C:\Users\Chloe\Documents\chldn\Translation_II_files\image004.jpg" TargetMode="External"/><Relationship Id="rId12" Type="http://schemas.openxmlformats.org/officeDocument/2006/relationships/image" Target="file:///C:\Users\Chloe\Documents\chldn\Translation_II_files\image009.jpg" TargetMode="External"/><Relationship Id="rId17" Type="http://schemas.openxmlformats.org/officeDocument/2006/relationships/image" Target="file:///C:\Users\Chloe\Documents\chldn\Translation_II_files\image014.jp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file:///C:\Users\Chloe\Documents\chldn\Translation_II_files\image013.jpg" TargetMode="External"/><Relationship Id="rId20" Type="http://schemas.openxmlformats.org/officeDocument/2006/relationships/image" Target="file:///C:\Users\Chloe\Documents\chldn\Translation_II_files\image017.jp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Chloe\Documents\chldn\Translation_II_files\image003.jpg" TargetMode="External"/><Relationship Id="rId11" Type="http://schemas.openxmlformats.org/officeDocument/2006/relationships/image" Target="file:///C:\Users\Chloe\Documents\chldn\Translation_II_files\image008.jpg" TargetMode="External"/><Relationship Id="rId24" Type="http://schemas.openxmlformats.org/officeDocument/2006/relationships/fontTable" Target="fontTable.xml"/><Relationship Id="rId5" Type="http://schemas.openxmlformats.org/officeDocument/2006/relationships/image" Target="file:///C:\Users\Chloe\Documents\chldn\Translation_II_files\image002.jpg" TargetMode="External"/><Relationship Id="rId15" Type="http://schemas.openxmlformats.org/officeDocument/2006/relationships/image" Target="file:///C:\Users\Chloe\Documents\chldn\Translation_II_files\image012.jpg" TargetMode="External"/><Relationship Id="rId23" Type="http://schemas.openxmlformats.org/officeDocument/2006/relationships/image" Target="file:///C:\Users\Chloe\Documents\chldn\Translation_II_files\image020.jpg" TargetMode="External"/><Relationship Id="rId10" Type="http://schemas.openxmlformats.org/officeDocument/2006/relationships/image" Target="file:///C:\Users\Chloe\Documents\chldn\Translation_II_files\image007.jpg" TargetMode="External"/><Relationship Id="rId19" Type="http://schemas.openxmlformats.org/officeDocument/2006/relationships/image" Target="file:///C:\Users\Chloe\Documents\chldn\Translation_II_files\image016.jpg" TargetMode="External"/><Relationship Id="rId4" Type="http://schemas.openxmlformats.org/officeDocument/2006/relationships/image" Target="file:///C:\Users\Chloe\Documents\chldn\Translation_II_files\image001.jpg" TargetMode="External"/><Relationship Id="rId9" Type="http://schemas.openxmlformats.org/officeDocument/2006/relationships/image" Target="file:///C:\Users\Chloe\Documents\chldn\Translation_II_files\image006.jpg" TargetMode="External"/><Relationship Id="rId14" Type="http://schemas.openxmlformats.org/officeDocument/2006/relationships/image" Target="file:///C:\Users\Chloe\Documents\chldn\Translation_II_files\image011.jpg" TargetMode="External"/><Relationship Id="rId22" Type="http://schemas.openxmlformats.org/officeDocument/2006/relationships/image" Target="file:///C:\Users\Chloe\Documents\chldn\Translation_II_files\image01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Duan</dc:creator>
  <cp:keywords/>
  <dc:description/>
  <cp:lastModifiedBy>Chloe Duan</cp:lastModifiedBy>
  <cp:revision>2</cp:revision>
  <dcterms:created xsi:type="dcterms:W3CDTF">2016-04-13T16:51:00Z</dcterms:created>
  <dcterms:modified xsi:type="dcterms:W3CDTF">2016-04-13T16:51:00Z</dcterms:modified>
</cp:coreProperties>
</file>