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color w:val="57534E"/>
          <w:sz w:val="18"/>
        </w:rPr>
        <w:t>CONFIDENTIAL — FOR MANAGEMENT REVIEW</w:t>
      </w:r>
    </w:p>
    <w:p>
      <w:pPr>
        <w:spacing w:after="1600"/>
      </w:pPr>
      <w:r>
        <w:rPr>
          <w:b w:val="0"/>
          <w:sz w:val="21"/>
        </w:rPr>
      </w:r>
    </w:p>
    <w:p>
      <w:pPr>
        <w:spacing w:after="80"/>
        <w:jc w:val="center"/>
      </w:pPr>
      <w:r>
        <w:rPr>
          <w:b/>
          <w:color w:val="D97706"/>
          <w:sz w:val="80"/>
        </w:rPr>
        <w:t>AdGuard</w:t>
      </w:r>
    </w:p>
    <w:p>
      <w:pPr>
        <w:spacing w:after="160"/>
        <w:jc w:val="center"/>
      </w:pPr>
      <w:r>
        <w:rPr>
          <w:b/>
          <w:color w:val="1C1917"/>
          <w:sz w:val="32"/>
        </w:rPr>
        <w:t>Stop paying for garbage leads.</w:t>
      </w:r>
    </w:p>
    <w:p>
      <w:pPr>
        <w:spacing w:after="600"/>
        <w:jc w:val="center"/>
      </w:pPr>
      <w:r>
        <w:rPr>
          <w:b w:val="0"/>
          <w:color w:val="57534E"/>
          <w:sz w:val="28"/>
        </w:rPr>
        <w:t>Market-Entry &amp; Payment-Activation Proposal</w:t>
      </w:r>
    </w:p>
    <w:p>
      <w:pPr>
        <w:spacing w:after="40"/>
        <w:jc w:val="center"/>
      </w:pPr>
      <w:r>
        <w:rPr>
          <w:b w:val="0"/>
          <w:color w:val="57534E"/>
          <w:sz w:val="20"/>
        </w:rPr>
        <w:t>Prepared by: Shekhar Raju  ·  CHLEAR (CHL Marketing Solutions Pvt. Ltd.)</w:t>
      </w:r>
    </w:p>
    <w:p>
      <w:pPr>
        <w:spacing w:after="1200"/>
        <w:jc w:val="center"/>
      </w:pPr>
      <w:r>
        <w:rPr>
          <w:b w:val="0"/>
          <w:color w:val="57534E"/>
          <w:sz w:val="20"/>
        </w:rPr>
        <w:t>October 2026  ·  Version 1.0  ·  Beta live with subscribers</w:t>
      </w:r>
    </w:p>
    <w:p>
      <w:pPr>
        <w:spacing w:after="120"/>
        <w:jc w:val="center"/>
      </w:pPr>
      <w:r>
        <w:rPr>
          <w:b/>
          <w:color w:val="0A7D4F"/>
          <w:sz w:val="24"/>
        </w:rPr>
        <w:t>THE ASK: Approve Razorpay LIVE activation so paying customers can check out on October 10.</w:t>
      </w:r>
    </w:p>
    <w:p>
      <w:r>
        <w:br w:type="page"/>
      </w:r>
    </w:p>
    <w:p>
      <w:pPr>
        <w:pStyle w:val="Heading1"/>
      </w:pPr>
      <w:r>
        <w:t>1. Executive Summary</w:t>
      </w:r>
    </w:p>
    <w:p>
      <w:pPr>
        <w:spacing w:after="120"/>
      </w:pPr>
      <w:r>
        <w:rPr>
          <w:b w:val="0"/>
          <w:sz w:val="21"/>
        </w:rPr>
        <w:t>AdGuard is a lead-integrity SaaS for businesses advertising on Google and Meta. It connects to the customer's own ad accounts, audits every incoming lead in real time, blocks bots and junk before they reach the CRM or poison the ad platforms' learning, and proves the recovered money in rupees on a customer dashboard.</w:t>
      </w:r>
    </w:p>
    <w:p>
      <w:pPr>
        <w:spacing w:after="40"/>
      </w:pPr>
      <w:r>
        <w:rPr>
          <w:b/>
          <w:sz w:val="21"/>
        </w:rPr>
        <w:t>Where we are today:</w:t>
      </w:r>
    </w:p>
    <w:p>
      <w:pPr>
        <w:pStyle w:val="ListBullet"/>
        <w:spacing w:after="40"/>
      </w:pPr>
      <w:r>
        <w:t>Platform built and live in production (Railway + Supabase/Postgres).</w:t>
      </w:r>
    </w:p>
    <w:p>
      <w:pPr>
        <w:pStyle w:val="ListBullet"/>
        <w:spacing w:after="40"/>
      </w:pPr>
      <w:r>
        <w:t>Self-serve signup live: customer signs up, verifies email, sets password, gets workspace in under 5 minutes.</w:t>
      </w:r>
    </w:p>
    <w:p>
      <w:pPr>
        <w:pStyle w:val="ListBullet"/>
        <w:spacing w:after="40"/>
      </w:pPr>
      <w:r>
        <w:t>Trial + Starter + Pro + Enterprise plans provisioned automatically; plan rules enforced in-product.</w:t>
      </w:r>
    </w:p>
    <w:p>
      <w:pPr>
        <w:pStyle w:val="ListBullet"/>
        <w:spacing w:after="40"/>
      </w:pPr>
      <w:r>
        <w:t>Beta subscribers onboarded and using workspaces; welcome/verify email journey working end-to-end.</w:t>
      </w:r>
    </w:p>
    <w:p>
      <w:pPr>
        <w:pStyle w:val="ListBullet"/>
        <w:spacing w:after="40"/>
      </w:pPr>
      <w:r>
        <w:t>Legal base live: Terms of Service v2.0 (audit disclaimer, liability cap, IP protection) accepted at signup.</w:t>
      </w:r>
    </w:p>
    <w:p>
      <w:pPr>
        <w:pStyle w:val="ListBullet"/>
        <w:spacing w:after="40"/>
      </w:pPr>
      <w:r>
        <w:t>20-CRM delivery catalog, Money Shield, Script Tag interceptor, admin cockpit all shipped.</w:t>
      </w:r>
    </w:p>
    <w:p>
      <w:pPr>
        <w:spacing w:after="40"/>
      </w:pPr>
      <w:r>
        <w:rPr>
          <w:b/>
          <w:sz w:val="21"/>
        </w:rPr>
        <w:t>What is missing:</w:t>
      </w:r>
    </w:p>
    <w:p>
      <w:pPr>
        <w:spacing w:after="120"/>
      </w:pPr>
      <w:r>
        <w:rPr>
          <w:b w:val="0"/>
          <w:sz w:val="21"/>
        </w:rPr>
        <w:t>Payments. Plan selection currently works but the payment step is bypassed for beta — a customer clicking “Choose Starter” gets the workspace without paying. Razorpay LIVE activation is the single remaining blocker between the product and its first rupee of revenue.</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D97706"/>
          </w:tcPr>
          <w:p>
            <w:r/>
            <w:r>
              <w:rPr>
                <w:b/>
                <w:color w:val="FFFFFF"/>
                <w:sz w:val="19"/>
              </w:rPr>
              <w:t>Launch date</w:t>
            </w:r>
          </w:p>
        </w:tc>
        <w:tc>
          <w:tcPr>
            <w:tcW w:type="dxa" w:w="3744"/>
            <w:shd w:val="clear" w:fill="D97706"/>
          </w:tcPr>
          <w:p>
            <w:r/>
            <w:r>
              <w:rPr>
                <w:b/>
                <w:color w:val="FFFFFF"/>
                <w:sz w:val="19"/>
              </w:rPr>
              <w:t>The blocker</w:t>
            </w:r>
          </w:p>
        </w:tc>
        <w:tc>
          <w:tcPr>
            <w:tcW w:type="dxa" w:w="3744"/>
            <w:shd w:val="clear" w:fill="D97706"/>
          </w:tcPr>
          <w:p>
            <w:r/>
            <w:r>
              <w:rPr>
                <w:b/>
                <w:color w:val="FFFFFF"/>
                <w:sz w:val="19"/>
              </w:rPr>
              <w:t>The ask</w:t>
            </w:r>
          </w:p>
        </w:tc>
      </w:tr>
      <w:tr>
        <w:tc>
          <w:tcPr>
            <w:tcW w:type="dxa" w:w="2880"/>
          </w:tcPr>
          <w:p>
            <w:r/>
            <w:r>
              <w:rPr>
                <w:sz w:val="19"/>
              </w:rPr>
              <w:t>October 10, 2026</w:t>
            </w:r>
          </w:p>
        </w:tc>
        <w:tc>
          <w:tcPr>
            <w:tcW w:type="dxa" w:w="3744"/>
          </w:tcPr>
          <w:p>
            <w:r/>
            <w:r>
              <w:rPr>
                <w:sz w:val="19"/>
              </w:rPr>
              <w:t>Razorpay LIVE not yet activated</w:t>
            </w:r>
          </w:p>
        </w:tc>
        <w:tc>
          <w:tcPr>
            <w:tcW w:type="dxa" w:w="3744"/>
          </w:tcPr>
          <w:p>
            <w:r/>
            <w:r>
              <w:rPr>
                <w:sz w:val="19"/>
              </w:rPr>
              <w:t>Approve Razorpay LIVE + KYC/bank activation now</w:t>
            </w:r>
          </w:p>
        </w:tc>
      </w:tr>
    </w:tbl>
    <w:p>
      <w:pPr>
        <w:spacing w:after="80"/>
      </w:pPr>
    </w:p>
    <w:p>
      <w:r>
        <w:br w:type="page"/>
      </w:r>
    </w:p>
    <w:p>
      <w:pPr>
        <w:pStyle w:val="Heading1"/>
      </w:pPr>
      <w:r>
        <w:t>2. What AdGuard Does (Product Walkthrough)</w:t>
      </w:r>
    </w:p>
    <w:p>
      <w:pPr>
        <w:spacing w:after="120"/>
      </w:pPr>
      <w:r>
        <w:rPr>
          <w:b w:val="0"/>
          <w:sz w:val="21"/>
        </w:rPr>
        <w:t>The journey: marketer connects Google/Meta via official OAuth → leads flow into AdGuard's audit pipeline → each lead is device-fingerprinted, deduplicated, geo-checked, email/phone validated and AI-scored in ~2 seconds → verified leads reach the CRM, junk leads are blocked with evidence → Money Shield auto-pauses campaigns that attract junk → weekly reports show recovered spend in ₹.</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landing_hero.png"/>
                    <pic:cNvPicPr/>
                  </pic:nvPicPr>
                  <pic:blipFill>
                    <a:blip r:embed="rId9"/>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2.1 — Public landing page (ai-ad-optimiser-production-dd12.up.railway.app/adguard-landing)</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2_how_it_works.png"/>
                    <pic:cNvPicPr/>
                  </pic:nvPicPr>
                  <pic:blipFill>
                    <a:blip r:embed="rId10"/>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2.2 — How it works: connect → screen → shield → CRM</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03_live_stream.png"/>
                    <pic:cNvPicPr/>
                  </pic:nvPicPr>
                  <pic:blipFill>
                    <a:blip r:embed="rId11"/>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2.3 — Live lead stream demo on the landing page</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10_workspace_dashboard.png"/>
                    <pic:cNvPicPr/>
                  </pic:nvPicPr>
                  <pic:blipFill>
                    <a:blip r:embed="rId12"/>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2.4 — Customer workspace: starter plan quota meter, KPIs, live feed, Money Shield</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11_workspace_connections.png"/>
                    <pic:cNvPicPr/>
                  </pic:nvPicPr>
                  <pic:blipFill>
                    <a:blip r:embed="rId13"/>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2.5 — Connections tab: OAuth connectors + campaign screening</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12_settings_crm_cards.png"/>
                    <pic:cNvPicPr/>
                  </pic:nvPicPr>
                  <pic:blipFill>
                    <a:blip r:embed="rId14"/>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2.6 — Settings: CRM delivery choice (None / Deliver to a CRM)</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13_crm_picker.png"/>
                    <pic:cNvPicPr/>
                  </pic:nvPicPr>
                  <pic:blipFill>
                    <a:blip r:embed="rId15"/>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2.7 — 20-CRM picker with real logos: 4 direct integrations, 16 via universal webhook</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17_admin_subscribers.png"/>
                    <pic:cNvPicPr/>
                  </pic:nvPicPr>
                  <pic:blipFill>
                    <a:blip r:embed="rId16"/>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2.8 — Admin cockpit: subscriber &amp; plan management, call credits, embed tag</w:t>
      </w:r>
    </w:p>
    <w:p>
      <w:pPr>
        <w:pStyle w:val="Heading2"/>
      </w:pPr>
      <w:r>
        <w:t>2.1 Feature maturity (honest status)</w:t>
      </w:r>
    </w:p>
    <w:tbl>
      <w:tblPr>
        <w:tblStyle w:val="TableGrid"/>
        <w:tblW w:type="auto" w:w="0"/>
        <w:jc w:val="center"/>
        <w:tblLook w:firstColumn="1" w:firstRow="1" w:lastColumn="0" w:lastRow="0" w:noHBand="0" w:noVBand="1" w:val="04A0"/>
      </w:tblPr>
      <w:tblGrid>
        <w:gridCol w:w="4896"/>
        <w:gridCol w:w="4896"/>
      </w:tblGrid>
      <w:tr>
        <w:tc>
          <w:tcPr>
            <w:tcW w:type="dxa" w:w="7776"/>
            <w:shd w:val="clear" w:fill="D97706"/>
          </w:tcPr>
          <w:p>
            <w:r/>
            <w:r>
              <w:rPr>
                <w:b/>
                <w:color w:val="FFFFFF"/>
                <w:sz w:val="19"/>
              </w:rPr>
              <w:t>Capability</w:t>
            </w:r>
          </w:p>
        </w:tc>
        <w:tc>
          <w:tcPr>
            <w:tcW w:type="dxa" w:w="2592"/>
            <w:shd w:val="clear" w:fill="D97706"/>
          </w:tcPr>
          <w:p>
            <w:r/>
            <w:r>
              <w:rPr>
                <w:b/>
                <w:color w:val="FFFFFF"/>
                <w:sz w:val="19"/>
              </w:rPr>
              <w:t>Status</w:t>
            </w:r>
          </w:p>
        </w:tc>
      </w:tr>
      <w:tr>
        <w:tc>
          <w:tcPr>
            <w:tcW w:type="dxa" w:w="7776"/>
          </w:tcPr>
          <w:p>
            <w:r/>
            <w:r>
              <w:rPr>
                <w:sz w:val="19"/>
              </w:rPr>
              <w:t>Lead audit pipeline (Google + Meta webhooks, AI scoring, dedupe, geo, validation)</w:t>
            </w:r>
          </w:p>
        </w:tc>
        <w:tc>
          <w:tcPr>
            <w:tcW w:type="dxa" w:w="2592"/>
          </w:tcPr>
          <w:p>
            <w:r/>
            <w:r>
              <w:rPr>
                <w:sz w:val="19"/>
              </w:rPr>
              <w:t>LIVE</w:t>
            </w:r>
          </w:p>
        </w:tc>
      </w:tr>
      <w:tr>
        <w:tc>
          <w:tcPr>
            <w:tcW w:type="dxa" w:w="7776"/>
            <w:shd w:val="clear" w:fill="FAF5EF"/>
          </w:tcPr>
          <w:p>
            <w:r/>
            <w:r>
              <w:rPr>
                <w:sz w:val="19"/>
              </w:rPr>
              <w:t>Self-serve signup + email journey (verify → password → welcome)</w:t>
            </w:r>
          </w:p>
        </w:tc>
        <w:tc>
          <w:tcPr>
            <w:tcW w:type="dxa" w:w="2592"/>
            <w:shd w:val="clear" w:fill="FAF5EF"/>
          </w:tcPr>
          <w:p>
            <w:r/>
            <w:r>
              <w:rPr>
                <w:sz w:val="19"/>
              </w:rPr>
              <w:t>LIVE</w:t>
            </w:r>
          </w:p>
        </w:tc>
      </w:tr>
      <w:tr>
        <w:tc>
          <w:tcPr>
            <w:tcW w:type="dxa" w:w="7776"/>
          </w:tcPr>
          <w:p>
            <w:r/>
            <w:r>
              <w:rPr>
                <w:sz w:val="19"/>
              </w:rPr>
              <w:t>Plans, monthly hard-stop quotas, trial 14-day expiry</w:t>
            </w:r>
          </w:p>
        </w:tc>
        <w:tc>
          <w:tcPr>
            <w:tcW w:type="dxa" w:w="2592"/>
          </w:tcPr>
          <w:p>
            <w:r/>
            <w:r>
              <w:rPr>
                <w:sz w:val="19"/>
              </w:rPr>
              <w:t>LIVE</w:t>
            </w:r>
          </w:p>
        </w:tc>
      </w:tr>
      <w:tr>
        <w:tc>
          <w:tcPr>
            <w:tcW w:type="dxa" w:w="7776"/>
            <w:shd w:val="clear" w:fill="FAF5EF"/>
          </w:tcPr>
          <w:p>
            <w:r/>
            <w:r>
              <w:rPr>
                <w:sz w:val="19"/>
              </w:rPr>
              <w:t>CRM delivery (20 CRMs incl. LeadSquared, Zoho, HubSpot direct)</w:t>
            </w:r>
          </w:p>
        </w:tc>
        <w:tc>
          <w:tcPr>
            <w:tcW w:type="dxa" w:w="2592"/>
            <w:shd w:val="clear" w:fill="FAF5EF"/>
          </w:tcPr>
          <w:p>
            <w:r/>
            <w:r>
              <w:rPr>
                <w:sz w:val="19"/>
              </w:rPr>
              <w:t>LIVE</w:t>
            </w:r>
          </w:p>
        </w:tc>
      </w:tr>
      <w:tr>
        <w:tc>
          <w:tcPr>
            <w:tcW w:type="dxa" w:w="7776"/>
          </w:tcPr>
          <w:p>
            <w:r/>
            <w:r>
              <w:rPr>
                <w:sz w:val="19"/>
              </w:rPr>
              <w:t>Money Shield monitor/protect + auto-pause governor</w:t>
            </w:r>
          </w:p>
        </w:tc>
        <w:tc>
          <w:tcPr>
            <w:tcW w:type="dxa" w:w="2592"/>
          </w:tcPr>
          <w:p>
            <w:r/>
            <w:r>
              <w:rPr>
                <w:sz w:val="19"/>
              </w:rPr>
              <w:t>LIVE</w:t>
            </w:r>
          </w:p>
        </w:tc>
      </w:tr>
      <w:tr>
        <w:tc>
          <w:tcPr>
            <w:tcW w:type="dxa" w:w="7776"/>
            <w:shd w:val="clear" w:fill="FAF5EF"/>
          </w:tcPr>
          <w:p>
            <w:r/>
            <w:r>
              <w:rPr>
                <w:sz w:val="19"/>
              </w:rPr>
              <w:t>Pre-Submit Interceptor script tag (fail-open, 2.0s)</w:t>
            </w:r>
          </w:p>
        </w:tc>
        <w:tc>
          <w:tcPr>
            <w:tcW w:type="dxa" w:w="2592"/>
            <w:shd w:val="clear" w:fill="FAF5EF"/>
          </w:tcPr>
          <w:p>
            <w:r/>
            <w:r>
              <w:rPr>
                <w:sz w:val="19"/>
              </w:rPr>
              <w:t>LIVE</w:t>
            </w:r>
          </w:p>
        </w:tc>
      </w:tr>
      <w:tr>
        <w:tc>
          <w:tcPr>
            <w:tcW w:type="dxa" w:w="7776"/>
          </w:tcPr>
          <w:p>
            <w:r/>
            <w:r>
              <w:rPr>
                <w:sz w:val="19"/>
              </w:rPr>
              <w:t>Admin cockpit (subscribers, plans, quotas, call credits, simulate)</w:t>
            </w:r>
          </w:p>
        </w:tc>
        <w:tc>
          <w:tcPr>
            <w:tcW w:type="dxa" w:w="2592"/>
          </w:tcPr>
          <w:p>
            <w:r/>
            <w:r>
              <w:rPr>
                <w:sz w:val="19"/>
              </w:rPr>
              <w:t>LIVE</w:t>
            </w:r>
          </w:p>
        </w:tc>
      </w:tr>
      <w:tr>
        <w:tc>
          <w:tcPr>
            <w:tcW w:type="dxa" w:w="7776"/>
            <w:shd w:val="clear" w:fill="FAF5EF"/>
          </w:tcPr>
          <w:p>
            <w:r/>
            <w:r>
              <w:rPr>
                <w:sz w:val="19"/>
              </w:rPr>
              <w:t>Prepaid call-verification credits (Pro 300 / Enterprise 500)</w:t>
            </w:r>
          </w:p>
        </w:tc>
        <w:tc>
          <w:tcPr>
            <w:tcW w:type="dxa" w:w="2592"/>
            <w:shd w:val="clear" w:fill="FAF5EF"/>
          </w:tcPr>
          <w:p>
            <w:r/>
            <w:r>
              <w:rPr>
                <w:sz w:val="19"/>
              </w:rPr>
              <w:t>METERED (Samvaad debit pending)</w:t>
            </w:r>
          </w:p>
        </w:tc>
      </w:tr>
      <w:tr>
        <w:tc>
          <w:tcPr>
            <w:tcW w:type="dxa" w:w="7776"/>
          </w:tcPr>
          <w:p>
            <w:r/>
            <w:r>
              <w:rPr>
                <w:sz w:val="19"/>
              </w:rPr>
              <w:t>AI call verification (Samvaad integration)</w:t>
            </w:r>
          </w:p>
        </w:tc>
        <w:tc>
          <w:tcPr>
            <w:tcW w:type="dxa" w:w="2592"/>
          </w:tcPr>
          <w:p>
            <w:r/>
            <w:r>
              <w:rPr>
                <w:sz w:val="19"/>
              </w:rPr>
              <w:t>NEXT (Q4)</w:t>
            </w:r>
          </w:p>
        </w:tc>
      </w:tr>
      <w:tr>
        <w:tc>
          <w:tcPr>
            <w:tcW w:type="dxa" w:w="7776"/>
            <w:shd w:val="clear" w:fill="FAF5EF"/>
          </w:tcPr>
          <w:p>
            <w:r/>
            <w:r>
              <w:rPr>
                <w:sz w:val="19"/>
              </w:rPr>
              <w:t>WhatsApp OTP step-up</w:t>
            </w:r>
          </w:p>
        </w:tc>
        <w:tc>
          <w:tcPr>
            <w:tcW w:type="dxa" w:w="2592"/>
            <w:shd w:val="clear" w:fill="FAF5EF"/>
          </w:tcPr>
          <w:p>
            <w:r/>
            <w:r>
              <w:rPr>
                <w:sz w:val="19"/>
              </w:rPr>
              <w:t>PARKED (clients run OTP in own forms)</w:t>
            </w:r>
          </w:p>
        </w:tc>
      </w:tr>
      <w:tr>
        <w:tc>
          <w:tcPr>
            <w:tcW w:type="dxa" w:w="7776"/>
          </w:tcPr>
          <w:p>
            <w:r/>
            <w:r>
              <w:rPr>
                <w:sz w:val="19"/>
              </w:rPr>
              <w:t>Bot Traps</w:t>
            </w:r>
          </w:p>
        </w:tc>
        <w:tc>
          <w:tcPr>
            <w:tcW w:type="dxa" w:w="2592"/>
          </w:tcPr>
          <w:p>
            <w:r/>
            <w:r>
              <w:rPr>
                <w:sz w:val="19"/>
              </w:rPr>
              <w:t>PARKED (Enterprise roadmap)</w:t>
            </w:r>
          </w:p>
        </w:tc>
      </w:tr>
      <w:tr>
        <w:tc>
          <w:tcPr>
            <w:tcW w:type="dxa" w:w="7776"/>
            <w:shd w:val="clear" w:fill="FAF5EF"/>
          </w:tcPr>
          <w:p>
            <w:r/>
            <w:r>
              <w:rPr>
                <w:sz w:val="19"/>
              </w:rPr>
              <w:t>Invalid-click evidence CSV writer</w:t>
            </w:r>
          </w:p>
        </w:tc>
        <w:tc>
          <w:tcPr>
            <w:tcW w:type="dxa" w:w="2592"/>
            <w:shd w:val="clear" w:fill="FAF5EF"/>
          </w:tcPr>
          <w:p>
            <w:r/>
            <w:r>
              <w:rPr>
                <w:sz w:val="19"/>
              </w:rPr>
              <w:t>SCOPED (approved, in build)</w:t>
            </w:r>
          </w:p>
        </w:tc>
      </w:tr>
    </w:tbl>
    <w:p>
      <w:pPr>
        <w:spacing w:after="80"/>
      </w:pPr>
    </w:p>
    <w:p>
      <w:r>
        <w:br w:type="page"/>
      </w:r>
    </w:p>
    <w:p>
      <w:pPr>
        <w:pStyle w:val="Heading1"/>
      </w:pPr>
      <w:r>
        <w:t>3. The Problem &amp; Market</w:t>
      </w:r>
    </w:p>
    <w:p>
      <w:pPr>
        <w:spacing w:after="120"/>
      </w:pPr>
      <w:r>
        <w:rPr>
          <w:b w:val="0"/>
          <w:sz w:val="21"/>
        </w:rPr>
        <w:t>Industry studies consistently estimate 15–30% of paid-search and paid-social leads are never real buyers — bots, competitors, form-spam, duplicates, and unqualified clicks. Indian lead-gen verticals (education, real estate, healthcare, BFSI, hyperlocal) run on form-fills, making them the most exposed. The advertiser pays the platform for every one of these, then pays a sales team to call them.</w:t>
      </w:r>
    </w:p>
    <w:p>
      <w:pPr>
        <w:pStyle w:val="ListBullet"/>
        <w:spacing w:after="40"/>
      </w:pPr>
      <w:r>
        <w:t>Nobody audits lead quality at capture time — platforms optimise on volume, agencies optimise on CPL, and junk flows through the entire funnel.</w:t>
      </w:r>
    </w:p>
    <w:p>
      <w:pPr>
        <w:pStyle w:val="ListBullet"/>
        <w:spacing w:after="40"/>
      </w:pPr>
      <w:r>
        <w:t>Worse: when Meta/Google “learn” from fake leads, their optimisation findsmore fake leads — the waste compounds every week.</w:t>
      </w:r>
    </w:p>
    <w:p>
      <w:pPr>
        <w:pStyle w:val="ListBullet"/>
        <w:spacing w:after="40"/>
      </w:pPr>
      <w:r>
        <w:t>Existing click-fraud tools (ClickCease, Lunio, TrafficGuard) block clicks — but none of them audit the LEADS arriving via your own ad accounts, score them, and push exclusion audiences back to the platforms.</w:t>
      </w:r>
    </w:p>
    <w:p>
      <w:pPr>
        <w:spacing w:after="120"/>
      </w:pPr>
      <w:r>
        <w:rPr>
          <w:b w:val="0"/>
          <w:sz w:val="21"/>
        </w:rPr>
        <w:t>AdGuard's wedge: we sit inside the customer's own ad accounts, audit the leads, block the junk, and make the platforms buy better. One mid-size Meta lead-gen client wastes an estimated ₹20,000–50,000 per month on junk; AdGuard Starter costs ₹4,999. The product sells itself with arithmetic.</w:t>
      </w:r>
    </w:p>
    <w:p>
      <w:r>
        <w:br w:type="page"/>
      </w:r>
    </w:p>
    <w:p>
      <w:pPr>
        <w:pStyle w:val="Heading1"/>
      </w:pPr>
      <w:r>
        <w:t>4. Plans &amp; Pricing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304"/>
            <w:shd w:val="clear" w:fill="D97706"/>
          </w:tcPr>
          <w:p>
            <w:r/>
            <w:r>
              <w:rPr>
                <w:b/>
                <w:color w:val="FFFFFF"/>
                <w:sz w:val="19"/>
              </w:rPr>
              <w:t>Plan</w:t>
            </w:r>
          </w:p>
        </w:tc>
        <w:tc>
          <w:tcPr>
            <w:tcW w:type="dxa" w:w="1728"/>
            <w:shd w:val="clear" w:fill="D97706"/>
          </w:tcPr>
          <w:p>
            <w:r/>
            <w:r>
              <w:rPr>
                <w:b/>
                <w:color w:val="FFFFFF"/>
                <w:sz w:val="19"/>
              </w:rPr>
              <w:t>Price/mo</w:t>
            </w:r>
          </w:p>
        </w:tc>
        <w:tc>
          <w:tcPr>
            <w:tcW w:type="dxa" w:w="2016"/>
            <w:shd w:val="clear" w:fill="D97706"/>
          </w:tcPr>
          <w:p>
            <w:r/>
            <w:r>
              <w:rPr>
                <w:b/>
                <w:color w:val="FFFFFF"/>
                <w:sz w:val="19"/>
              </w:rPr>
              <w:t>Lead audits</w:t>
            </w:r>
          </w:p>
        </w:tc>
        <w:tc>
          <w:tcPr>
            <w:tcW w:type="dxa" w:w="1728"/>
            <w:shd w:val="clear" w:fill="D97706"/>
          </w:tcPr>
          <w:p>
            <w:r/>
            <w:r>
              <w:rPr>
                <w:b/>
                <w:color w:val="FFFFFF"/>
                <w:sz w:val="19"/>
              </w:rPr>
              <w:t>AI calls</w:t>
            </w:r>
          </w:p>
        </w:tc>
        <w:tc>
          <w:tcPr>
            <w:tcW w:type="dxa" w:w="1440"/>
            <w:shd w:val="clear" w:fill="D97706"/>
          </w:tcPr>
          <w:p>
            <w:r/>
            <w:r>
              <w:rPr>
                <w:b/>
                <w:color w:val="FFFFFF"/>
                <w:sz w:val="19"/>
              </w:rPr>
              <w:t>Google+Meta</w:t>
            </w:r>
          </w:p>
        </w:tc>
        <w:tc>
          <w:tcPr>
            <w:tcW w:type="dxa" w:w="2304"/>
            <w:shd w:val="clear" w:fill="D97706"/>
          </w:tcPr>
          <w:p>
            <w:r/>
            <w:r>
              <w:rPr>
                <w:b/>
                <w:color w:val="FFFFFF"/>
                <w:sz w:val="19"/>
              </w:rPr>
              <w:t>Workspaces</w:t>
            </w:r>
          </w:p>
        </w:tc>
      </w:tr>
      <w:tr>
        <w:tc>
          <w:tcPr>
            <w:tcW w:type="dxa" w:w="2304"/>
          </w:tcPr>
          <w:p>
            <w:r/>
            <w:r>
              <w:rPr>
                <w:sz w:val="19"/>
              </w:rPr>
              <w:t>Shadow (Free trial)</w:t>
            </w:r>
          </w:p>
        </w:tc>
        <w:tc>
          <w:tcPr>
            <w:tcW w:type="dxa" w:w="1728"/>
          </w:tcPr>
          <w:p>
            <w:r/>
            <w:r>
              <w:rPr>
                <w:sz w:val="19"/>
              </w:rPr>
              <w:t>₹0 · 14 days</w:t>
            </w:r>
          </w:p>
        </w:tc>
        <w:tc>
          <w:tcPr>
            <w:tcW w:type="dxa" w:w="2016"/>
          </w:tcPr>
          <w:p>
            <w:r/>
            <w:r>
              <w:rPr>
                <w:sz w:val="19"/>
              </w:rPr>
              <w:t>300 total, hard stop</w:t>
            </w:r>
          </w:p>
        </w:tc>
        <w:tc>
          <w:tcPr>
            <w:tcW w:type="dxa" w:w="1728"/>
          </w:tcPr>
          <w:p>
            <w:r/>
            <w:r>
              <w:rPr>
                <w:sz w:val="19"/>
              </w:rPr>
              <w:t>—</w:t>
            </w:r>
          </w:p>
        </w:tc>
        <w:tc>
          <w:tcPr>
            <w:tcW w:type="dxa" w:w="1440"/>
          </w:tcPr>
          <w:p>
            <w:r/>
            <w:r>
              <w:rPr>
                <w:sz w:val="19"/>
              </w:rPr>
              <w:t>1 + 1</w:t>
            </w:r>
          </w:p>
        </w:tc>
        <w:tc>
          <w:tcPr>
            <w:tcW w:type="dxa" w:w="2304"/>
          </w:tcPr>
          <w:p>
            <w:r/>
            <w:r>
              <w:rPr>
                <w:sz w:val="19"/>
              </w:rPr>
              <w:t>1</w:t>
            </w:r>
          </w:p>
        </w:tc>
      </w:tr>
      <w:tr>
        <w:tc>
          <w:tcPr>
            <w:tcW w:type="dxa" w:w="2304"/>
            <w:shd w:val="clear" w:fill="FAF5EF"/>
          </w:tcPr>
          <w:p>
            <w:r/>
            <w:r>
              <w:rPr>
                <w:sz w:val="19"/>
              </w:rPr>
              <w:t>Starter</w:t>
            </w:r>
          </w:p>
        </w:tc>
        <w:tc>
          <w:tcPr>
            <w:tcW w:type="dxa" w:w="1728"/>
            <w:shd w:val="clear" w:fill="FAF5EF"/>
          </w:tcPr>
          <w:p>
            <w:r/>
            <w:r>
              <w:rPr>
                <w:sz w:val="19"/>
              </w:rPr>
              <w:t>₹4,999</w:t>
            </w:r>
          </w:p>
        </w:tc>
        <w:tc>
          <w:tcPr>
            <w:tcW w:type="dxa" w:w="2016"/>
            <w:shd w:val="clear" w:fill="FAF5EF"/>
          </w:tcPr>
          <w:p>
            <w:r/>
            <w:r>
              <w:rPr>
                <w:sz w:val="19"/>
              </w:rPr>
              <w:t>1,000/month</w:t>
            </w:r>
          </w:p>
        </w:tc>
        <w:tc>
          <w:tcPr>
            <w:tcW w:type="dxa" w:w="1728"/>
            <w:shd w:val="clear" w:fill="FAF5EF"/>
          </w:tcPr>
          <w:p>
            <w:r/>
            <w:r>
              <w:rPr>
                <w:sz w:val="19"/>
              </w:rPr>
              <w:t>—</w:t>
            </w:r>
          </w:p>
        </w:tc>
        <w:tc>
          <w:tcPr>
            <w:tcW w:type="dxa" w:w="1440"/>
            <w:shd w:val="clear" w:fill="FAF5EF"/>
          </w:tcPr>
          <w:p>
            <w:r/>
            <w:r>
              <w:rPr>
                <w:sz w:val="19"/>
              </w:rPr>
              <w:t>1 + 1</w:t>
            </w:r>
          </w:p>
        </w:tc>
        <w:tc>
          <w:tcPr>
            <w:tcW w:type="dxa" w:w="2304"/>
            <w:shd w:val="clear" w:fill="FAF5EF"/>
          </w:tcPr>
          <w:p>
            <w:r/>
            <w:r>
              <w:rPr>
                <w:sz w:val="19"/>
              </w:rPr>
              <w:t>1</w:t>
            </w:r>
          </w:p>
        </w:tc>
      </w:tr>
      <w:tr>
        <w:tc>
          <w:tcPr>
            <w:tcW w:type="dxa" w:w="2304"/>
          </w:tcPr>
          <w:p>
            <w:r/>
            <w:r>
              <w:rPr>
                <w:sz w:val="19"/>
              </w:rPr>
              <w:t>Pro</w:t>
            </w:r>
          </w:p>
        </w:tc>
        <w:tc>
          <w:tcPr>
            <w:tcW w:type="dxa" w:w="1728"/>
          </w:tcPr>
          <w:p>
            <w:r/>
            <w:r>
              <w:rPr>
                <w:sz w:val="19"/>
              </w:rPr>
              <w:t>₹14,999</w:t>
            </w:r>
          </w:p>
        </w:tc>
        <w:tc>
          <w:tcPr>
            <w:tcW w:type="dxa" w:w="2016"/>
          </w:tcPr>
          <w:p>
            <w:r/>
            <w:r>
              <w:rPr>
                <w:sz w:val="19"/>
              </w:rPr>
              <w:t>5,000/month</w:t>
            </w:r>
          </w:p>
        </w:tc>
        <w:tc>
          <w:tcPr>
            <w:tcW w:type="dxa" w:w="1728"/>
          </w:tcPr>
          <w:p>
            <w:r/>
            <w:r>
              <w:rPr>
                <w:sz w:val="19"/>
              </w:rPr>
              <w:t>300 included</w:t>
            </w:r>
          </w:p>
        </w:tc>
        <w:tc>
          <w:tcPr>
            <w:tcW w:type="dxa" w:w="1440"/>
          </w:tcPr>
          <w:p>
            <w:r/>
            <w:r>
              <w:rPr>
                <w:sz w:val="19"/>
              </w:rPr>
              <w:t>1 + 1</w:t>
            </w:r>
          </w:p>
        </w:tc>
        <w:tc>
          <w:tcPr>
            <w:tcW w:type="dxa" w:w="2304"/>
          </w:tcPr>
          <w:p>
            <w:r/>
            <w:r>
              <w:rPr>
                <w:sz w:val="19"/>
              </w:rPr>
              <w:t>1</w:t>
            </w:r>
          </w:p>
        </w:tc>
      </w:tr>
      <w:tr>
        <w:tc>
          <w:tcPr>
            <w:tcW w:type="dxa" w:w="2304"/>
            <w:shd w:val="clear" w:fill="FAF5EF"/>
          </w:tcPr>
          <w:p>
            <w:r/>
            <w:r>
              <w:rPr>
                <w:sz w:val="19"/>
              </w:rPr>
              <w:t>Enterprise</w:t>
            </w:r>
          </w:p>
        </w:tc>
        <w:tc>
          <w:tcPr>
            <w:tcW w:type="dxa" w:w="1728"/>
            <w:shd w:val="clear" w:fill="FAF5EF"/>
          </w:tcPr>
          <w:p>
            <w:r/>
            <w:r>
              <w:rPr>
                <w:sz w:val="19"/>
              </w:rPr>
              <w:t>₹39,999</w:t>
            </w:r>
          </w:p>
        </w:tc>
        <w:tc>
          <w:tcPr>
            <w:tcW w:type="dxa" w:w="2016"/>
            <w:shd w:val="clear" w:fill="FAF5EF"/>
          </w:tcPr>
          <w:p>
            <w:r/>
            <w:r>
              <w:rPr>
                <w:sz w:val="19"/>
              </w:rPr>
              <w:t>Unlimited</w:t>
            </w:r>
          </w:p>
        </w:tc>
        <w:tc>
          <w:tcPr>
            <w:tcW w:type="dxa" w:w="1728"/>
            <w:shd w:val="clear" w:fill="FAF5EF"/>
          </w:tcPr>
          <w:p>
            <w:r/>
            <w:r>
              <w:rPr>
                <w:sz w:val="19"/>
              </w:rPr>
              <w:t>500 included</w:t>
            </w:r>
          </w:p>
        </w:tc>
        <w:tc>
          <w:tcPr>
            <w:tcW w:type="dxa" w:w="1440"/>
            <w:shd w:val="clear" w:fill="FAF5EF"/>
          </w:tcPr>
          <w:p>
            <w:r/>
            <w:r>
              <w:rPr>
                <w:sz w:val="19"/>
              </w:rPr>
              <w:t>2 + 2</w:t>
            </w:r>
          </w:p>
        </w:tc>
        <w:tc>
          <w:tcPr>
            <w:tcW w:type="dxa" w:w="2304"/>
            <w:shd w:val="clear" w:fill="FAF5EF"/>
          </w:tcPr>
          <w:p>
            <w:r/>
            <w:r>
              <w:rPr>
                <w:sz w:val="19"/>
              </w:rPr>
              <w:t>10 brand workspaces</w:t>
            </w:r>
          </w:p>
        </w:tc>
      </w:tr>
    </w:tbl>
    <w:p>
      <w:pPr>
        <w:spacing w:after="80"/>
      </w:pP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05_pricing.png"/>
                    <pic:cNvPicPr/>
                  </pic:nvPicPr>
                  <pic:blipFill>
                    <a:blip r:embed="rId17"/>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4.1 — Public pricing table as customers see it</w:t>
      </w:r>
    </w:p>
    <w:p>
      <w:pPr>
        <w:spacing w:after="40"/>
      </w:pPr>
      <w:r>
        <w:rPr>
          <w:b/>
          <w:sz w:val="21"/>
        </w:rPr>
        <w:t>Policy design (already enforced in-product):</w:t>
      </w:r>
    </w:p>
    <w:p>
      <w:pPr>
        <w:pStyle w:val="ListBullet"/>
        <w:spacing w:after="40"/>
      </w:pPr>
      <w:r>
        <w:t>Lead quotas are hard stops with monthly reset — unused quota does not carry over (capacity provision, industry standard).</w:t>
      </w:r>
    </w:p>
    <w:p>
      <w:pPr>
        <w:pStyle w:val="ListBullet"/>
        <w:spacing w:after="40"/>
      </w:pPr>
      <w:r>
        <w:t>AI call credits are a prepaid bucket that NEVER expires — ethical and defensible: credits carry across renewals; customers top up 100/₹799, 300/₹1,999, 500/₹2,999 packs.</w:t>
      </w:r>
    </w:p>
    <w:p>
      <w:pPr>
        <w:pStyle w:val="ListBullet"/>
        <w:spacing w:after="40"/>
      </w:pPr>
      <w:r>
        <w:t>Trial clock starts at password activation (not signup) — no lost trial days to slow email verification.</w:t>
      </w:r>
    </w:p>
    <w:p>
      <w:pPr>
        <w:pStyle w:val="ListBullet"/>
        <w:spacing w:after="40"/>
      </w:pPr>
      <w:r>
        <w:t>Connection limits (1 Google + 1 Meta) enforced at OAuth; upsell path to Enterprise is in-product.</w:t>
      </w:r>
    </w:p>
    <w:p>
      <w:pPr>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07_signup_modal_tos.png"/>
                    <pic:cNvPicPr/>
                  </pic:nvPicPr>
                  <pic:blipFill>
                    <a:blip r:embed="rId18"/>
                    <a:stretch>
                      <a:fillRect/>
                    </a:stretch>
                  </pic:blipFill>
                  <pic:spPr>
                    <a:xfrm>
                      <a:off x="0" y="0"/>
                      <a:ext cx="5852160" cy="3291840"/>
                    </a:xfrm>
                    <a:prstGeom prst="rect"/>
                  </pic:spPr>
                </pic:pic>
              </a:graphicData>
            </a:graphic>
          </wp:inline>
        </w:drawing>
      </w:r>
    </w:p>
    <w:p>
      <w:pPr>
        <w:spacing w:after="200"/>
        <w:jc w:val="center"/>
      </w:pPr>
      <w:r>
        <w:rPr>
          <w:b w:val="0"/>
          <w:color w:val="57534E"/>
          <w:sz w:val="17"/>
        </w:rPr>
        <w:t>Fig 4.2 — Signup modal with mandatory ToS acceptance (legal cover built into the flow)</w:t>
      </w:r>
    </w:p>
    <w:p>
      <w:r>
        <w:br w:type="page"/>
      </w:r>
    </w:p>
    <w:p>
      <w:pPr>
        <w:pStyle w:val="Heading1"/>
      </w:pPr>
      <w:r>
        <w:t>5. Unit Economics (Full View)</w:t>
      </w:r>
    </w:p>
    <w:p>
      <w:pPr>
        <w:spacing w:after="160"/>
      </w:pPr>
      <w:r>
        <w:rPr>
          <w:b w:val="0"/>
          <w:sz w:val="21"/>
        </w:rPr>
        <w:t>Costs are real production numbers (Railway + Supabase + gateway fees). No item is hidden.</w:t>
      </w:r>
    </w:p>
    <w:p>
      <w:pPr>
        <w:pStyle w:val="Heading2"/>
      </w:pPr>
      <w:r>
        <w:t>5.1 Gross margin per subscriber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456"/>
            <w:shd w:val="clear" w:fill="D97706"/>
          </w:tcPr>
          <w:p>
            <w:r/>
            <w:r>
              <w:rPr>
                <w:b/>
                <w:color w:val="FFFFFF"/>
                <w:sz w:val="19"/>
              </w:rPr>
              <w:t>Plan</w:t>
            </w:r>
          </w:p>
        </w:tc>
        <w:tc>
          <w:tcPr>
            <w:tcW w:type="dxa" w:w="1584"/>
            <w:shd w:val="clear" w:fill="D97706"/>
          </w:tcPr>
          <w:p>
            <w:r/>
            <w:r>
              <w:rPr>
                <w:b/>
                <w:color w:val="FFFFFF"/>
                <w:sz w:val="19"/>
              </w:rPr>
              <w:t>Price</w:t>
            </w:r>
          </w:p>
        </w:tc>
        <w:tc>
          <w:tcPr>
            <w:tcW w:type="dxa" w:w="2016"/>
            <w:shd w:val="clear" w:fill="D97706"/>
          </w:tcPr>
          <w:p>
            <w:r/>
            <w:r>
              <w:rPr>
                <w:b/>
                <w:color w:val="FFFFFF"/>
                <w:sz w:val="19"/>
              </w:rPr>
              <w:t>Variable cost*</w:t>
            </w:r>
          </w:p>
        </w:tc>
        <w:tc>
          <w:tcPr>
            <w:tcW w:type="dxa" w:w="1728"/>
            <w:shd w:val="clear" w:fill="D97706"/>
          </w:tcPr>
          <w:p>
            <w:r/>
            <w:r>
              <w:rPr>
                <w:b/>
                <w:color w:val="FFFFFF"/>
                <w:sz w:val="19"/>
              </w:rPr>
              <w:t>Gross ₹</w:t>
            </w:r>
          </w:p>
        </w:tc>
        <w:tc>
          <w:tcPr>
            <w:tcW w:type="dxa" w:w="1440"/>
            <w:shd w:val="clear" w:fill="D97706"/>
          </w:tcPr>
          <w:p>
            <w:r/>
            <w:r>
              <w:rPr>
                <w:b/>
                <w:color w:val="FFFFFF"/>
                <w:sz w:val="19"/>
              </w:rPr>
              <w:t>Gross %</w:t>
            </w:r>
          </w:p>
        </w:tc>
      </w:tr>
      <w:tr>
        <w:tc>
          <w:tcPr>
            <w:tcW w:type="dxa" w:w="3456"/>
          </w:tcPr>
          <w:p>
            <w:r/>
            <w:r>
              <w:rPr>
                <w:sz w:val="19"/>
              </w:rPr>
              <w:t>Starter (1,000 leads)</w:t>
            </w:r>
          </w:p>
        </w:tc>
        <w:tc>
          <w:tcPr>
            <w:tcW w:type="dxa" w:w="1584"/>
          </w:tcPr>
          <w:p>
            <w:r/>
            <w:r>
              <w:rPr>
                <w:sz w:val="19"/>
              </w:rPr>
              <w:t>₹4,999</w:t>
            </w:r>
          </w:p>
        </w:tc>
        <w:tc>
          <w:tcPr>
            <w:tcW w:type="dxa" w:w="2016"/>
          </w:tcPr>
          <w:p>
            <w:r/>
            <w:r>
              <w:rPr>
                <w:sz w:val="19"/>
              </w:rPr>
              <w:t>~₹300</w:t>
            </w:r>
          </w:p>
        </w:tc>
        <w:tc>
          <w:tcPr>
            <w:tcW w:type="dxa" w:w="1728"/>
          </w:tcPr>
          <w:p>
            <w:r/>
            <w:r>
              <w:rPr>
                <w:sz w:val="19"/>
              </w:rPr>
              <w:t>~₹4,700</w:t>
            </w:r>
          </w:p>
        </w:tc>
        <w:tc>
          <w:tcPr>
            <w:tcW w:type="dxa" w:w="1440"/>
          </w:tcPr>
          <w:p>
            <w:r/>
            <w:r>
              <w:rPr>
                <w:sz w:val="19"/>
              </w:rPr>
              <w:t>~94%</w:t>
            </w:r>
          </w:p>
        </w:tc>
      </w:tr>
      <w:tr>
        <w:tc>
          <w:tcPr>
            <w:tcW w:type="dxa" w:w="3456"/>
            <w:shd w:val="clear" w:fill="FAF5EF"/>
          </w:tcPr>
          <w:p>
            <w:r/>
            <w:r>
              <w:rPr>
                <w:sz w:val="19"/>
              </w:rPr>
              <w:t>Pro (5,000 leads + 300 calls)</w:t>
            </w:r>
          </w:p>
        </w:tc>
        <w:tc>
          <w:tcPr>
            <w:tcW w:type="dxa" w:w="1584"/>
            <w:shd w:val="clear" w:fill="FAF5EF"/>
          </w:tcPr>
          <w:p>
            <w:r/>
            <w:r>
              <w:rPr>
                <w:sz w:val="19"/>
              </w:rPr>
              <w:t>₹14,999</w:t>
            </w:r>
          </w:p>
        </w:tc>
        <w:tc>
          <w:tcPr>
            <w:tcW w:type="dxa" w:w="2016"/>
            <w:shd w:val="clear" w:fill="FAF5EF"/>
          </w:tcPr>
          <w:p>
            <w:r/>
            <w:r>
              <w:rPr>
                <w:sz w:val="19"/>
              </w:rPr>
              <w:t>~₹600</w:t>
            </w:r>
          </w:p>
        </w:tc>
        <w:tc>
          <w:tcPr>
            <w:tcW w:type="dxa" w:w="1728"/>
            <w:shd w:val="clear" w:fill="FAF5EF"/>
          </w:tcPr>
          <w:p>
            <w:r/>
            <w:r>
              <w:rPr>
                <w:sz w:val="19"/>
              </w:rPr>
              <w:t>~₹14,400</w:t>
            </w:r>
          </w:p>
        </w:tc>
        <w:tc>
          <w:tcPr>
            <w:tcW w:type="dxa" w:w="1440"/>
            <w:shd w:val="clear" w:fill="FAF5EF"/>
          </w:tcPr>
          <w:p>
            <w:r/>
            <w:r>
              <w:rPr>
                <w:sz w:val="19"/>
              </w:rPr>
              <w:t>~96%</w:t>
            </w:r>
          </w:p>
        </w:tc>
      </w:tr>
      <w:tr>
        <w:tc>
          <w:tcPr>
            <w:tcW w:type="dxa" w:w="3456"/>
          </w:tcPr>
          <w:p>
            <w:r/>
            <w:r>
              <w:rPr>
                <w:sz w:val="19"/>
              </w:rPr>
              <w:t>Enterprise (10 ws + 500 calls)</w:t>
            </w:r>
          </w:p>
        </w:tc>
        <w:tc>
          <w:tcPr>
            <w:tcW w:type="dxa" w:w="1584"/>
          </w:tcPr>
          <w:p>
            <w:r/>
            <w:r>
              <w:rPr>
                <w:sz w:val="19"/>
              </w:rPr>
              <w:t>₹39,999</w:t>
            </w:r>
          </w:p>
        </w:tc>
        <w:tc>
          <w:tcPr>
            <w:tcW w:type="dxa" w:w="2016"/>
          </w:tcPr>
          <w:p>
            <w:r/>
            <w:r>
              <w:rPr>
                <w:sz w:val="19"/>
              </w:rPr>
              <w:t>~₹2,500</w:t>
            </w:r>
          </w:p>
        </w:tc>
        <w:tc>
          <w:tcPr>
            <w:tcW w:type="dxa" w:w="1728"/>
          </w:tcPr>
          <w:p>
            <w:r/>
            <w:r>
              <w:rPr>
                <w:sz w:val="19"/>
              </w:rPr>
              <w:t>~₹37,500</w:t>
            </w:r>
          </w:p>
        </w:tc>
        <w:tc>
          <w:tcPr>
            <w:tcW w:type="dxa" w:w="1440"/>
          </w:tcPr>
          <w:p>
            <w:r/>
            <w:r>
              <w:rPr>
                <w:sz w:val="19"/>
              </w:rPr>
              <w:t>~94%</w:t>
            </w:r>
          </w:p>
        </w:tc>
      </w:tr>
    </w:tbl>
    <w:p>
      <w:pPr>
        <w:spacing w:after="80"/>
      </w:pPr>
    </w:p>
    <w:p>
      <w:pPr>
        <w:spacing w:after="120"/>
      </w:pPr>
      <w:r>
        <w:rPr>
          <w:b w:val="0"/>
          <w:color w:val="57534E"/>
          <w:sz w:val="18"/>
        </w:rPr>
        <w:t>*Variable = compute, storage growth, 30 min support. Gateway adds 2% of revenue (Razorpay). AI-call cost sits inside the plans' call bundles (Samvaad ~₹2–4/call; prepaid packs retail at ₹6–8/call — 33–50% margin on top-ups).</w:t>
      </w:r>
    </w:p>
    <w:p>
      <w:pPr>
        <w:pStyle w:val="Heading2"/>
      </w:pPr>
      <w:r>
        <w:t>5.2 Fixed infrastructure</w:t>
      </w:r>
    </w:p>
    <w:tbl>
      <w:tblPr>
        <w:tblStyle w:val="TableGrid"/>
        <w:tblW w:type="auto" w:w="0"/>
        <w:jc w:val="center"/>
        <w:tblLook w:firstColumn="1" w:firstRow="1" w:lastColumn="0" w:lastRow="0" w:noHBand="0" w:noVBand="1" w:val="04A0"/>
      </w:tblPr>
      <w:tblGrid>
        <w:gridCol w:w="4896"/>
        <w:gridCol w:w="4896"/>
      </w:tblGrid>
      <w:tr>
        <w:tc>
          <w:tcPr>
            <w:tcW w:type="dxa" w:w="6336"/>
            <w:shd w:val="clear" w:fill="D97706"/>
          </w:tcPr>
          <w:p>
            <w:r/>
            <w:r>
              <w:rPr>
                <w:b/>
                <w:color w:val="FFFFFF"/>
                <w:sz w:val="19"/>
              </w:rPr>
              <w:t>Item</w:t>
            </w:r>
          </w:p>
        </w:tc>
        <w:tc>
          <w:tcPr>
            <w:tcW w:type="dxa" w:w="2592"/>
            <w:shd w:val="clear" w:fill="D97706"/>
          </w:tcPr>
          <w:p>
            <w:r/>
            <w:r>
              <w:rPr>
                <w:b/>
                <w:color w:val="FFFFFF"/>
                <w:sz w:val="19"/>
              </w:rPr>
              <w:t>₹/month</w:t>
            </w:r>
          </w:p>
        </w:tc>
      </w:tr>
      <w:tr>
        <w:tc>
          <w:tcPr>
            <w:tcW w:type="dxa" w:w="6336"/>
          </w:tcPr>
          <w:p>
            <w:r/>
            <w:r>
              <w:rPr>
                <w:sz w:val="19"/>
              </w:rPr>
              <w:t>Railway (app + scheduler, 24/7)</w:t>
            </w:r>
          </w:p>
        </w:tc>
        <w:tc>
          <w:tcPr>
            <w:tcW w:type="dxa" w:w="2592"/>
          </w:tcPr>
          <w:p>
            <w:r/>
            <w:r>
              <w:rPr>
                <w:sz w:val="19"/>
              </w:rPr>
              <w:t>2,000–3,500</w:t>
            </w:r>
          </w:p>
        </w:tc>
      </w:tr>
      <w:tr>
        <w:tc>
          <w:tcPr>
            <w:tcW w:type="dxa" w:w="6336"/>
            <w:shd w:val="clear" w:fill="FAF5EF"/>
          </w:tcPr>
          <w:p>
            <w:r/>
            <w:r>
              <w:rPr>
                <w:sz w:val="19"/>
              </w:rPr>
              <w:t>Supabase Postgres (free tier → Pro at growth)</w:t>
            </w:r>
          </w:p>
        </w:tc>
        <w:tc>
          <w:tcPr>
            <w:tcW w:type="dxa" w:w="2592"/>
            <w:shd w:val="clear" w:fill="FAF5EF"/>
          </w:tcPr>
          <w:p>
            <w:r/>
            <w:r>
              <w:rPr>
                <w:sz w:val="19"/>
              </w:rPr>
              <w:t>0–2,100</w:t>
            </w:r>
          </w:p>
        </w:tc>
      </w:tr>
      <w:tr>
        <w:tc>
          <w:tcPr>
            <w:tcW w:type="dxa" w:w="6336"/>
          </w:tcPr>
          <w:p>
            <w:r/>
            <w:r>
              <w:rPr>
                <w:sz w:val="19"/>
              </w:rPr>
              <w:t>Domain + SSL + email</w:t>
            </w:r>
          </w:p>
        </w:tc>
        <w:tc>
          <w:tcPr>
            <w:tcW w:type="dxa" w:w="2592"/>
          </w:tcPr>
          <w:p>
            <w:r/>
            <w:r>
              <w:rPr>
                <w:sz w:val="19"/>
              </w:rPr>
              <w:t>~100</w:t>
            </w:r>
          </w:p>
        </w:tc>
      </w:tr>
      <w:tr>
        <w:tc>
          <w:tcPr>
            <w:tcW w:type="dxa" w:w="6336"/>
            <w:shd w:val="clear" w:fill="FAF5EF"/>
          </w:tcPr>
          <w:p>
            <w:r/>
            <w:r>
              <w:rPr>
                <w:sz w:val="19"/>
              </w:rPr>
              <w:t>Total fixed</w:t>
            </w:r>
          </w:p>
        </w:tc>
        <w:tc>
          <w:tcPr>
            <w:tcW w:type="dxa" w:w="2592"/>
            <w:shd w:val="clear" w:fill="FAF5EF"/>
          </w:tcPr>
          <w:p>
            <w:r/>
            <w:r>
              <w:rPr>
                <w:sz w:val="19"/>
              </w:rPr>
              <w:t>≈ ₹3,000–5,000</w:t>
            </w:r>
          </w:p>
        </w:tc>
      </w:tr>
    </w:tbl>
    <w:p>
      <w:pPr>
        <w:spacing w:after="80"/>
      </w:pPr>
    </w:p>
    <w:p>
      <w:pPr>
        <w:pStyle w:val="Heading2"/>
      </w:pPr>
      <w:r>
        <w:t>5.3 P&amp;L at the 60-day post-launch state</w:t>
      </w:r>
    </w:p>
    <w:tbl>
      <w:tblPr>
        <w:tblStyle w:val="TableGrid"/>
        <w:tblW w:type="auto" w:w="0"/>
        <w:jc w:val="center"/>
        <w:tblLook w:firstColumn="1" w:firstRow="1" w:lastColumn="0" w:lastRow="0" w:noHBand="0" w:noVBand="1" w:val="04A0"/>
      </w:tblPr>
      <w:tblGrid>
        <w:gridCol w:w="4896"/>
        <w:gridCol w:w="4896"/>
      </w:tblGrid>
      <w:tr>
        <w:tc>
          <w:tcPr>
            <w:tcW w:type="dxa" w:w="6336"/>
            <w:shd w:val="clear" w:fill="D97706"/>
          </w:tcPr>
          <w:p>
            <w:r/>
            <w:r>
              <w:rPr>
                <w:b/>
                <w:color w:val="FFFFFF"/>
                <w:sz w:val="19"/>
              </w:rPr>
              <w:t>Line</w:t>
            </w:r>
          </w:p>
        </w:tc>
        <w:tc>
          <w:tcPr>
            <w:tcW w:type="dxa" w:w="2592"/>
            <w:shd w:val="clear" w:fill="D97706"/>
          </w:tcPr>
          <w:p>
            <w:r/>
            <w:r>
              <w:rPr>
                <w:b/>
                <w:color w:val="FFFFFF"/>
                <w:sz w:val="19"/>
              </w:rPr>
              <w:t>₹/month</w:t>
            </w:r>
          </w:p>
        </w:tc>
      </w:tr>
      <w:tr>
        <w:tc>
          <w:tcPr>
            <w:tcW w:type="dxa" w:w="6336"/>
          </w:tcPr>
          <w:p>
            <w:r/>
            <w:r>
              <w:rPr>
                <w:sz w:val="19"/>
              </w:rPr>
              <w:t>Revenue: 10 Starter + 4 Pro + 2 Enterprise</w:t>
            </w:r>
          </w:p>
        </w:tc>
        <w:tc>
          <w:tcPr>
            <w:tcW w:type="dxa" w:w="2592"/>
          </w:tcPr>
          <w:p>
            <w:r/>
            <w:r>
              <w:rPr>
                <w:sz w:val="19"/>
              </w:rPr>
              <w:t>1,89,984</w:t>
            </w:r>
          </w:p>
        </w:tc>
      </w:tr>
      <w:tr>
        <w:tc>
          <w:tcPr>
            <w:tcW w:type="dxa" w:w="6336"/>
            <w:shd w:val="clear" w:fill="FAF5EF"/>
          </w:tcPr>
          <w:p>
            <w:r/>
            <w:r>
              <w:rPr>
                <w:sz w:val="19"/>
              </w:rPr>
              <w:t>Infrastructure (scaled)</w:t>
            </w:r>
          </w:p>
        </w:tc>
        <w:tc>
          <w:tcPr>
            <w:tcW w:type="dxa" w:w="2592"/>
            <w:shd w:val="clear" w:fill="FAF5EF"/>
          </w:tcPr>
          <w:p>
            <w:r/>
            <w:r>
              <w:rPr>
                <w:sz w:val="19"/>
              </w:rPr>
              <w:t>(8,000)</w:t>
            </w:r>
          </w:p>
        </w:tc>
      </w:tr>
      <w:tr>
        <w:tc>
          <w:tcPr>
            <w:tcW w:type="dxa" w:w="6336"/>
          </w:tcPr>
          <w:p>
            <w:r/>
            <w:r>
              <w:rPr>
                <w:sz w:val="19"/>
              </w:rPr>
              <w:t>Gateway 2%</w:t>
            </w:r>
          </w:p>
        </w:tc>
        <w:tc>
          <w:tcPr>
            <w:tcW w:type="dxa" w:w="2592"/>
          </w:tcPr>
          <w:p>
            <w:r/>
            <w:r>
              <w:rPr>
                <w:sz w:val="19"/>
              </w:rPr>
              <w:t>(3,800)</w:t>
            </w:r>
          </w:p>
        </w:tc>
      </w:tr>
      <w:tr>
        <w:tc>
          <w:tcPr>
            <w:tcW w:type="dxa" w:w="6336"/>
            <w:shd w:val="clear" w:fill="FAF5EF"/>
          </w:tcPr>
          <w:p>
            <w:r/>
            <w:r>
              <w:rPr>
                <w:sz w:val="19"/>
              </w:rPr>
              <w:t>Support/dev salary</w:t>
            </w:r>
          </w:p>
        </w:tc>
        <w:tc>
          <w:tcPr>
            <w:tcW w:type="dxa" w:w="2592"/>
            <w:shd w:val="clear" w:fill="FAF5EF"/>
          </w:tcPr>
          <w:p>
            <w:r/>
            <w:r>
              <w:rPr>
                <w:sz w:val="19"/>
              </w:rPr>
              <w:t>(60,000)</w:t>
            </w:r>
          </w:p>
        </w:tc>
      </w:tr>
      <w:tr>
        <w:tc>
          <w:tcPr>
            <w:tcW w:type="dxa" w:w="6336"/>
          </w:tcPr>
          <w:p>
            <w:r/>
            <w:r>
              <w:rPr>
                <w:sz w:val="19"/>
              </w:rPr>
              <w:t>Operating profit</w:t>
            </w:r>
          </w:p>
        </w:tc>
        <w:tc>
          <w:tcPr>
            <w:tcW w:type="dxa" w:w="2592"/>
          </w:tcPr>
          <w:p>
            <w:r/>
            <w:r>
              <w:rPr>
                <w:sz w:val="19"/>
              </w:rPr>
              <w:t>≈₹1,18,000 → ~62% net margin</w:t>
            </w:r>
          </w:p>
        </w:tc>
      </w:tr>
    </w:tbl>
    <w:p>
      <w:pPr>
        <w:spacing w:after="80"/>
      </w:pPr>
    </w:p>
    <w:tbl>
      <w:tblPr>
        <w:tblStyle w:val="TableGrid"/>
        <w:tblW w:type="auto" w:w="0"/>
        <w:jc w:val="center"/>
        <w:tblLook w:firstColumn="1" w:firstRow="1" w:lastColumn="0" w:lastRow="0" w:noHBand="0" w:noVBand="1" w:val="04A0"/>
      </w:tblPr>
      <w:tblGrid>
        <w:gridCol w:w="4896"/>
        <w:gridCol w:w="4896"/>
      </w:tblGrid>
      <w:tr>
        <w:tc>
          <w:tcPr>
            <w:tcW w:type="dxa" w:w="4896"/>
            <w:shd w:val="clear" w:fill="D97706"/>
          </w:tcPr>
          <w:p>
            <w:r/>
            <w:r>
              <w:rPr>
                <w:b/>
                <w:color w:val="FFFFFF"/>
                <w:sz w:val="19"/>
              </w:rPr>
              <w:t>Break-even milestones</w:t>
            </w:r>
          </w:p>
        </w:tc>
        <w:tc>
          <w:tcPr>
            <w:tcW w:type="dxa" w:w="4032"/>
            <w:shd w:val="clear" w:fill="D97706"/>
          </w:tcPr>
          <w:p>
            <w:r/>
            <w:r>
              <w:rPr>
                <w:b/>
                <w:color w:val="FFFFFF"/>
                <w:sz w:val="19"/>
              </w:rPr>
              <w:t>Value</w:t>
            </w:r>
          </w:p>
        </w:tc>
      </w:tr>
      <w:tr>
        <w:tc>
          <w:tcPr>
            <w:tcW w:type="dxa" w:w="4896"/>
          </w:tcPr>
          <w:p>
            <w:r/>
            <w:r>
              <w:rPr>
                <w:sz w:val="19"/>
              </w:rPr>
              <w:t>Fixed infra break-even</w:t>
            </w:r>
          </w:p>
        </w:tc>
        <w:tc>
          <w:tcPr>
            <w:tcW w:type="dxa" w:w="4032"/>
          </w:tcPr>
          <w:p>
            <w:r/>
            <w:r>
              <w:rPr>
                <w:sz w:val="19"/>
              </w:rPr>
              <w:t>1 Starter subscriber</w:t>
            </w:r>
          </w:p>
        </w:tc>
      </w:tr>
      <w:tr>
        <w:tc>
          <w:tcPr>
            <w:tcW w:type="dxa" w:w="4896"/>
            <w:shd w:val="clear" w:fill="FAF5EF"/>
          </w:tcPr>
          <w:p>
            <w:r/>
            <w:r>
              <w:rPr>
                <w:sz w:val="19"/>
              </w:rPr>
              <w:t>True break-even (with salary)</w:t>
            </w:r>
          </w:p>
        </w:tc>
        <w:tc>
          <w:tcPr>
            <w:tcW w:type="dxa" w:w="4032"/>
            <w:shd w:val="clear" w:fill="FAF5EF"/>
          </w:tcPr>
          <w:p>
            <w:r/>
            <w:r>
              <w:rPr>
                <w:sz w:val="19"/>
              </w:rPr>
              <w:t>6–8 subscribers (~₹65–70k MRR)</w:t>
            </w:r>
          </w:p>
        </w:tc>
      </w:tr>
      <w:tr>
        <w:tc>
          <w:tcPr>
            <w:tcW w:type="dxa" w:w="4896"/>
          </w:tcPr>
          <w:p>
            <w:r/>
            <w:r>
              <w:rPr>
                <w:sz w:val="19"/>
              </w:rPr>
              <w:t>Before that</w:t>
            </w:r>
          </w:p>
        </w:tc>
        <w:tc>
          <w:tcPr>
            <w:tcW w:type="dxa" w:w="4032"/>
          </w:tcPr>
          <w:p>
            <w:r/>
            <w:r>
              <w:rPr>
                <w:sz w:val="19"/>
              </w:rPr>
              <w:t>Founder-run: 1–2 subscribers = already cash-positive</w:t>
            </w:r>
          </w:p>
        </w:tc>
      </w:tr>
    </w:tbl>
    <w:p>
      <w:pPr>
        <w:spacing w:after="80"/>
      </w:pPr>
    </w:p>
    <w:p>
      <w:r>
        <w:br w:type="page"/>
      </w:r>
    </w:p>
    <w:p>
      <w:pPr>
        <w:pStyle w:val="Heading1"/>
      </w:pPr>
      <w:r>
        <w:t>6. Why Razorpay Now (The Core Ask)</w:t>
      </w:r>
    </w:p>
    <w:p>
      <w:pPr>
        <w:spacing w:after="120"/>
      </w:pPr>
      <w:r>
        <w:rPr>
          <w:b w:val="0"/>
          <w:sz w:val="21"/>
        </w:rPr>
        <w:t>Today the product has no payment path by design (beta). A customer choosing a paid plan gets the workspace, but the payment step is bypassed. This was correct for beta — beta feedback without purchase friction — but it means the funnel stops exactly where revenue starts.</w:t>
      </w:r>
    </w:p>
    <w:p>
      <w:pPr>
        <w:pStyle w:val="Heading2"/>
      </w:pPr>
      <w:r>
        <w:t>6.1 What Razorpay LIVE unlocks</w:t>
      </w:r>
    </w:p>
    <w:p>
      <w:pPr>
        <w:pStyle w:val="ListBullet"/>
        <w:spacing w:after="40"/>
      </w:pPr>
      <w:r>
        <w:t>Checkout: customer picks Starter/Pro/Enterprise → Razorpay (UPI, cards, netbanking, wallets) → subscription active instantly, no manual UPI transfers and no support tickets.</w:t>
      </w:r>
    </w:p>
    <w:p>
      <w:pPr>
        <w:pStyle w:val="ListBullet"/>
        <w:spacing w:after="40"/>
      </w:pPr>
      <w:r>
        <w:t>Automatic provisioning: plan + quota + call credits applied the moment payment succeeds (webhook-driven).</w:t>
      </w:r>
    </w:p>
    <w:p>
      <w:pPr>
        <w:pStyle w:val="ListBullet"/>
        <w:spacing w:after="40"/>
      </w:pPr>
      <w:r>
        <w:t>Prepaid call-pack purchases inside the workspace (Buy Calls → Razorpay checkout → instant credit).</w:t>
      </w:r>
    </w:p>
    <w:p>
      <w:pPr>
        <w:pStyle w:val="ListBullet"/>
        <w:spacing w:after="40"/>
      </w:pPr>
      <w:r>
        <w:t>Subscriptions with auto-recharge links for quota top-ups later, recurring billing at renewal.</w:t>
      </w:r>
    </w:p>
    <w:p>
      <w:pPr>
        <w:pStyle w:val="Heading2"/>
      </w:pPr>
      <w:r>
        <w:t>6.2 Gateway comparison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val="clear" w:fill="D97706"/>
          </w:tcPr>
          <w:p>
            <w:r/>
            <w:r>
              <w:rPr>
                <w:b/>
                <w:color w:val="FFFFFF"/>
                <w:sz w:val="19"/>
              </w:rPr>
              <w:t>Gateway</w:t>
            </w:r>
          </w:p>
        </w:tc>
        <w:tc>
          <w:tcPr>
            <w:tcW w:type="dxa" w:w="2016"/>
            <w:shd w:val="clear" w:fill="D97706"/>
          </w:tcPr>
          <w:p>
            <w:r/>
            <w:r>
              <w:rPr>
                <w:b/>
                <w:color w:val="FFFFFF"/>
                <w:sz w:val="19"/>
              </w:rPr>
              <w:t>Fees (Indian cards)</w:t>
            </w:r>
          </w:p>
        </w:tc>
        <w:tc>
          <w:tcPr>
            <w:tcW w:type="dxa" w:w="1440"/>
            <w:shd w:val="clear" w:fill="D97706"/>
          </w:tcPr>
          <w:p>
            <w:r/>
            <w:r>
              <w:rPr>
                <w:b/>
                <w:color w:val="FFFFFF"/>
                <w:sz w:val="19"/>
              </w:rPr>
              <w:t>Settlement</w:t>
            </w:r>
          </w:p>
        </w:tc>
        <w:tc>
          <w:tcPr>
            <w:tcW w:type="dxa" w:w="5184"/>
            <w:shd w:val="clear" w:fill="D97706"/>
          </w:tcPr>
          <w:p>
            <w:r/>
            <w:r>
              <w:rPr>
                <w:b/>
                <w:color w:val="FFFFFF"/>
                <w:sz w:val="19"/>
              </w:rPr>
              <w:t>Why/why not</w:t>
            </w:r>
          </w:p>
        </w:tc>
      </w:tr>
      <w:tr>
        <w:tc>
          <w:tcPr>
            <w:tcW w:type="dxa" w:w="1728"/>
          </w:tcPr>
          <w:p>
            <w:r/>
            <w:r>
              <w:rPr>
                <w:sz w:val="19"/>
              </w:rPr>
              <w:t>Razorpay</w:t>
            </w:r>
          </w:p>
        </w:tc>
        <w:tc>
          <w:tcPr>
            <w:tcW w:type="dxa" w:w="2016"/>
          </w:tcPr>
          <w:p>
            <w:r/>
            <w:r>
              <w:rPr>
                <w:sz w:val="19"/>
              </w:rPr>
              <w:t>~2% + GST</w:t>
            </w:r>
          </w:p>
        </w:tc>
        <w:tc>
          <w:tcPr>
            <w:tcW w:type="dxa" w:w="1440"/>
          </w:tcPr>
          <w:p>
            <w:r/>
            <w:r>
              <w:rPr>
                <w:sz w:val="19"/>
              </w:rPr>
              <w:t>T+2 days</w:t>
            </w:r>
          </w:p>
        </w:tc>
        <w:tc>
          <w:tcPr>
            <w:tcW w:type="dxa" w:w="5184"/>
          </w:tcPr>
          <w:p>
            <w:r/>
            <w:r>
              <w:rPr>
                <w:sz w:val="19"/>
              </w:rPr>
              <w:t>Best developer docs, subscriptions, payment pages; industry standard</w:t>
            </w:r>
          </w:p>
        </w:tc>
      </w:tr>
      <w:tr>
        <w:tc>
          <w:tcPr>
            <w:tcW w:type="dxa" w:w="1728"/>
            <w:shd w:val="clear" w:fill="FAF5EF"/>
          </w:tcPr>
          <w:p>
            <w:r/>
            <w:r>
              <w:rPr>
                <w:sz w:val="19"/>
              </w:rPr>
              <w:t>Cashfree</w:t>
            </w:r>
          </w:p>
        </w:tc>
        <w:tc>
          <w:tcPr>
            <w:tcW w:type="dxa" w:w="2016"/>
            <w:shd w:val="clear" w:fill="FAF5EF"/>
          </w:tcPr>
          <w:p>
            <w:r/>
            <w:r>
              <w:rPr>
                <w:sz w:val="19"/>
              </w:rPr>
              <w:t>~1.75–2%</w:t>
            </w:r>
          </w:p>
        </w:tc>
        <w:tc>
          <w:tcPr>
            <w:tcW w:type="dxa" w:w="1440"/>
            <w:shd w:val="clear" w:fill="FAF5EF"/>
          </w:tcPr>
          <w:p>
            <w:r/>
            <w:r>
              <w:rPr>
                <w:sz w:val="19"/>
              </w:rPr>
              <w:t>T+1</w:t>
            </w:r>
          </w:p>
        </w:tc>
        <w:tc>
          <w:tcPr>
            <w:tcW w:type="dxa" w:w="5184"/>
            <w:shd w:val="clear" w:fill="FAF5EF"/>
          </w:tcPr>
          <w:p>
            <w:r/>
            <w:r>
              <w:rPr>
                <w:sz w:val="19"/>
              </w:rPr>
              <w:t>Cheaper, fewer product features (links/subscriptions weaker)</w:t>
            </w:r>
          </w:p>
        </w:tc>
      </w:tr>
      <w:tr>
        <w:tc>
          <w:tcPr>
            <w:tcW w:type="dxa" w:w="1728"/>
          </w:tcPr>
          <w:p>
            <w:r/>
            <w:r>
              <w:rPr>
                <w:sz w:val="19"/>
              </w:rPr>
              <w:t>PayU</w:t>
            </w:r>
          </w:p>
        </w:tc>
        <w:tc>
          <w:tcPr>
            <w:tcW w:type="dxa" w:w="2016"/>
          </w:tcPr>
          <w:p>
            <w:r/>
            <w:r>
              <w:rPr>
                <w:sz w:val="19"/>
              </w:rPr>
              <w:t>~2% + GST</w:t>
            </w:r>
          </w:p>
        </w:tc>
        <w:tc>
          <w:tcPr>
            <w:tcW w:type="dxa" w:w="1440"/>
          </w:tcPr>
          <w:p>
            <w:r/>
            <w:r>
              <w:rPr>
                <w:sz w:val="19"/>
              </w:rPr>
              <w:t>T+2</w:t>
            </w:r>
          </w:p>
        </w:tc>
        <w:tc>
          <w:tcPr>
            <w:tcW w:type="dxa" w:w="5184"/>
          </w:tcPr>
          <w:p>
            <w:r/>
            <w:r>
              <w:rPr>
                <w:sz w:val="19"/>
              </w:rPr>
              <w:t>Comparable; docs and support weaker for startups</w:t>
            </w:r>
          </w:p>
        </w:tc>
      </w:tr>
    </w:tbl>
    <w:p>
      <w:pPr>
        <w:spacing w:after="80"/>
      </w:pPr>
    </w:p>
    <w:p>
      <w:pPr>
        <w:spacing w:after="120"/>
      </w:pPr>
      <w:r>
        <w:rPr>
          <w:b w:val="0"/>
          <w:sz w:val="21"/>
        </w:rPr>
        <w:t>Recommendation: Razorpay. Fees are standard, the subscription &amp; payment-page APIs are the strongest, and the code integration is a one-day change on the pre-built branch.</w:t>
      </w:r>
    </w:p>
    <w:p>
      <w:pPr>
        <w:pStyle w:val="Heading2"/>
      </w:pPr>
      <w:r>
        <w:t>6.3 Activation steps (owner actions)</w:t>
      </w:r>
    </w:p>
    <w:tbl>
      <w:tblPr>
        <w:tblStyle w:val="TableGrid"/>
        <w:tblW w:type="auto" w:w="0"/>
        <w:jc w:val="center"/>
        <w:tblLook w:firstColumn="1" w:firstRow="1" w:lastColumn="0" w:lastRow="0" w:noHBand="0" w:noVBand="1" w:val="04A0"/>
      </w:tblPr>
      <w:tblGrid>
        <w:gridCol w:w="3264"/>
        <w:gridCol w:w="3264"/>
        <w:gridCol w:w="3264"/>
      </w:tblGrid>
      <w:tr>
        <w:tc>
          <w:tcPr>
            <w:tcW w:type="dxa" w:w="5472"/>
            <w:shd w:val="clear" w:fill="D97706"/>
          </w:tcPr>
          <w:p>
            <w:r/>
            <w:r>
              <w:rPr>
                <w:b/>
                <w:color w:val="FFFFFF"/>
                <w:sz w:val="19"/>
              </w:rPr>
              <w:t>Step</w:t>
            </w:r>
          </w:p>
        </w:tc>
        <w:tc>
          <w:tcPr>
            <w:tcW w:type="dxa" w:w="2592"/>
            <w:shd w:val="clear" w:fill="D97706"/>
          </w:tcPr>
          <w:p>
            <w:r/>
            <w:r>
              <w:rPr>
                <w:b/>
                <w:color w:val="FFFFFF"/>
                <w:sz w:val="19"/>
              </w:rPr>
              <w:t>Owner</w:t>
            </w:r>
          </w:p>
        </w:tc>
        <w:tc>
          <w:tcPr>
            <w:tcW w:type="dxa" w:w="2016"/>
            <w:shd w:val="clear" w:fill="D97706"/>
          </w:tcPr>
          <w:p>
            <w:r/>
            <w:r>
              <w:rPr>
                <w:b/>
                <w:color w:val="FFFFFF"/>
                <w:sz w:val="19"/>
              </w:rPr>
              <w:t>Time</w:t>
            </w:r>
          </w:p>
        </w:tc>
      </w:tr>
      <w:tr>
        <w:tc>
          <w:tcPr>
            <w:tcW w:type="dxa" w:w="5472"/>
          </w:tcPr>
          <w:p>
            <w:r/>
            <w:r>
              <w:rPr>
                <w:sz w:val="19"/>
              </w:rPr>
              <w:t>KYC on Razorpay dashboard (PAN, GST, bank account of CHLEAR)</w:t>
            </w:r>
          </w:p>
        </w:tc>
        <w:tc>
          <w:tcPr>
            <w:tcW w:type="dxa" w:w="2592"/>
          </w:tcPr>
          <w:p>
            <w:r/>
            <w:r>
              <w:rPr>
                <w:sz w:val="19"/>
              </w:rPr>
              <w:t>Management + Shekhar</w:t>
            </w:r>
          </w:p>
        </w:tc>
        <w:tc>
          <w:tcPr>
            <w:tcW w:type="dxa" w:w="2016"/>
          </w:tcPr>
          <w:p>
            <w:r/>
            <w:r>
              <w:rPr>
                <w:sz w:val="19"/>
              </w:rPr>
              <w:t>Same day (docs ready)</w:t>
            </w:r>
          </w:p>
        </w:tc>
      </w:tr>
      <w:tr>
        <w:tc>
          <w:tcPr>
            <w:tcW w:type="dxa" w:w="5472"/>
            <w:shd w:val="clear" w:fill="FAF5EF"/>
          </w:tcPr>
          <w:p>
            <w:r/>
            <w:r>
              <w:rPr>
                <w:sz w:val="19"/>
              </w:rPr>
              <w:t>Business verification review by Razorpay</w:t>
            </w:r>
          </w:p>
        </w:tc>
        <w:tc>
          <w:tcPr>
            <w:tcW w:type="dxa" w:w="2592"/>
            <w:shd w:val="clear" w:fill="FAF5EF"/>
          </w:tcPr>
          <w:p>
            <w:r/>
            <w:r>
              <w:rPr>
                <w:sz w:val="19"/>
              </w:rPr>
              <w:t>Razorpay</w:t>
            </w:r>
          </w:p>
        </w:tc>
        <w:tc>
          <w:tcPr>
            <w:tcW w:type="dxa" w:w="2016"/>
            <w:shd w:val="clear" w:fill="FAF5EF"/>
          </w:tcPr>
          <w:p>
            <w:r/>
            <w:r>
              <w:rPr>
                <w:sz w:val="19"/>
              </w:rPr>
              <w:t>2–7 working days</w:t>
            </w:r>
          </w:p>
        </w:tc>
      </w:tr>
      <w:tr>
        <w:tc>
          <w:tcPr>
            <w:tcW w:type="dxa" w:w="5472"/>
          </w:tcPr>
          <w:p>
            <w:r/>
            <w:r>
              <w:rPr>
                <w:sz w:val="19"/>
              </w:rPr>
              <w:t>Bank settlement activation</w:t>
            </w:r>
          </w:p>
        </w:tc>
        <w:tc>
          <w:tcPr>
            <w:tcW w:type="dxa" w:w="2592"/>
          </w:tcPr>
          <w:p>
            <w:r/>
            <w:r>
              <w:rPr>
                <w:sz w:val="19"/>
              </w:rPr>
              <w:t>Razorpay</w:t>
            </w:r>
          </w:p>
        </w:tc>
        <w:tc>
          <w:tcPr>
            <w:tcW w:type="dxa" w:w="2016"/>
          </w:tcPr>
          <w:p>
            <w:r/>
            <w:r>
              <w:rPr>
                <w:sz w:val="19"/>
              </w:rPr>
              <w:t>With activation</w:t>
            </w:r>
          </w:p>
        </w:tc>
      </w:tr>
      <w:tr>
        <w:tc>
          <w:tcPr>
            <w:tcW w:type="dxa" w:w="5472"/>
            <w:shd w:val="clear" w:fill="FAF5EF"/>
          </w:tcPr>
          <w:p>
            <w:r/>
            <w:r>
              <w:rPr>
                <w:sz w:val="19"/>
              </w:rPr>
              <w:t>Flip code to LIVE keys (env var change + deploy)</w:t>
            </w:r>
          </w:p>
        </w:tc>
        <w:tc>
          <w:tcPr>
            <w:tcW w:type="dxa" w:w="2592"/>
            <w:shd w:val="clear" w:fill="FAF5EF"/>
          </w:tcPr>
          <w:p>
            <w:r/>
            <w:r>
              <w:rPr>
                <w:sz w:val="19"/>
              </w:rPr>
              <w:t>Shekhar/agent</w:t>
            </w:r>
          </w:p>
        </w:tc>
        <w:tc>
          <w:tcPr>
            <w:tcW w:type="dxa" w:w="2016"/>
            <w:shd w:val="clear" w:fill="FAF5EF"/>
          </w:tcPr>
          <w:p>
            <w:r/>
            <w:r>
              <w:rPr>
                <w:sz w:val="19"/>
              </w:rPr>
              <w:t>1 hour</w:t>
            </w:r>
          </w:p>
        </w:tc>
      </w:tr>
    </w:tbl>
    <w:p>
      <w:pPr>
        <w:spacing w:after="80"/>
      </w:pPr>
    </w:p>
    <w:p>
      <w:pPr>
        <w:spacing w:after="120"/>
      </w:pPr>
      <w:r>
        <w:rPr>
          <w:b w:val="0"/>
          <w:sz w:val="21"/>
        </w:rPr>
        <w:t>Activation is calendar-time, not engineering-time. Every day waiting is revenue not collected.</w:t>
      </w:r>
    </w:p>
    <w:p>
      <w:r>
        <w:br w:type="page"/>
      </w:r>
    </w:p>
    <w:p>
      <w:pPr>
        <w:pStyle w:val="Heading1"/>
      </w:pPr>
      <w:r>
        <w:t>7. Launch Plan (October 10)</w:t>
      </w:r>
    </w:p>
    <w:p>
      <w:pPr>
        <w:pStyle w:val="ListBullet"/>
        <w:spacing w:after="40"/>
      </w:pPr>
      <w:r>
        <w:t>Warm outreach: every agency/ad-ops contact across the team — personal WhatsApp, free 2-week trial.</w:t>
      </w:r>
    </w:p>
    <w:p>
      <w:pPr>
        <w:pStyle w:val="ListBullet"/>
        <w:spacing w:after="40"/>
      </w:pPr>
      <w:r>
        <w:t>chlear.in's own client base: present AdGuard in existing client reviews (highest-conversion channel).</w:t>
      </w:r>
    </w:p>
    <w:p>
      <w:pPr>
        <w:pStyle w:val="ListBullet"/>
        <w:spacing w:after="40"/>
      </w:pPr>
      <w:r>
        <w:t>LinkedIn launch sequence: the ₹ waste story, the fraud-graph explainer, the launch post.</w:t>
      </w:r>
    </w:p>
    <w:p>
      <w:pPr>
        <w:pStyle w:val="ListBullet"/>
        <w:spacing w:after="40"/>
      </w:pPr>
      <w:r>
        <w:t>Performance-marketing communities (India): share the CHLEAR case numbers.</w:t>
      </w:r>
    </w:p>
    <w:p>
      <w:pPr>
        <w:pStyle w:val="ListBullet"/>
        <w:spacing w:after="40"/>
      </w:pPr>
      <w:r>
        <w:t>Launch offer: first 10 subscribers get an early-adopter discount on annual commitment.</w:t>
      </w:r>
    </w:p>
    <w:p>
      <w:pPr>
        <w:pStyle w:val="ListBullet"/>
        <w:spacing w:after="40"/>
      </w:pPr>
      <w:r>
        <w:t>15-min demo promise: every demo request triggers an instant alert with a callback playbook — response inside 15 minutes is the differentiator.</w:t>
      </w:r>
    </w:p>
    <w:p>
      <w:pPr>
        <w:pStyle w:val="ListBullet"/>
        <w:spacing w:after="40"/>
      </w:pPr>
      <w:r>
        <w:t>Subscriber enablement already shipped: gated AdGuard Academy (8 lessons) + 10-step Setup Guide — reduces support load from day one.</w:t>
      </w:r>
    </w:p>
    <w:tbl>
      <w:tblPr>
        <w:tblStyle w:val="TableGrid"/>
        <w:tblW w:type="auto" w:w="0"/>
        <w:jc w:val="center"/>
        <w:tblLook w:firstColumn="1" w:firstRow="1" w:lastColumn="0" w:lastRow="0" w:noHBand="0" w:noVBand="1" w:val="04A0"/>
      </w:tblPr>
      <w:tblGrid>
        <w:gridCol w:w="4896"/>
        <w:gridCol w:w="4896"/>
      </w:tblGrid>
      <w:tr>
        <w:tc>
          <w:tcPr>
            <w:tcW w:type="dxa" w:w="5760"/>
            <w:shd w:val="clear" w:fill="D97706"/>
          </w:tcPr>
          <w:p>
            <w:r/>
            <w:r>
              <w:rPr>
                <w:b/>
                <w:color w:val="FFFFFF"/>
                <w:sz w:val="19"/>
              </w:rPr>
              <w:t>Weekly KPI board (from admin dashboard)</w:t>
            </w:r>
          </w:p>
        </w:tc>
        <w:tc>
          <w:tcPr>
            <w:tcW w:type="dxa" w:w="3456"/>
            <w:shd w:val="clear" w:fill="D97706"/>
          </w:tcPr>
          <w:p>
            <w:r/>
            <w:r>
              <w:rPr>
                <w:b/>
                <w:color w:val="FFFFFF"/>
                <w:sz w:val="19"/>
              </w:rPr>
              <w:t>Target by Nov 30</w:t>
            </w:r>
          </w:p>
        </w:tc>
      </w:tr>
      <w:tr>
        <w:tc>
          <w:tcPr>
            <w:tcW w:type="dxa" w:w="5760"/>
          </w:tcPr>
          <w:p>
            <w:r/>
            <w:r>
              <w:rPr>
                <w:sz w:val="19"/>
              </w:rPr>
              <w:t>Trial → paid conversion</w:t>
            </w:r>
          </w:p>
        </w:tc>
        <w:tc>
          <w:tcPr>
            <w:tcW w:type="dxa" w:w="3456"/>
          </w:tcPr>
          <w:p>
            <w:r/>
            <w:r>
              <w:rPr>
                <w:sz w:val="19"/>
              </w:rPr>
              <w:t>&gt; 25%</w:t>
            </w:r>
          </w:p>
        </w:tc>
      </w:tr>
      <w:tr>
        <w:tc>
          <w:tcPr>
            <w:tcW w:type="dxa" w:w="5760"/>
            <w:shd w:val="clear" w:fill="FAF5EF"/>
          </w:tcPr>
          <w:p>
            <w:r/>
            <w:r>
              <w:rPr>
                <w:sz w:val="19"/>
              </w:rPr>
              <w:t>MRR</w:t>
            </w:r>
          </w:p>
        </w:tc>
        <w:tc>
          <w:tcPr>
            <w:tcW w:type="dxa" w:w="3456"/>
            <w:shd w:val="clear" w:fill="FAF5EF"/>
          </w:tcPr>
          <w:p>
            <w:r/>
            <w:r>
              <w:rPr>
                <w:sz w:val="19"/>
              </w:rPr>
              <w:t>₹1,00,000 by Jan (stated in ask)</w:t>
            </w:r>
          </w:p>
        </w:tc>
      </w:tr>
      <w:tr>
        <w:tc>
          <w:tcPr>
            <w:tcW w:type="dxa" w:w="5760"/>
          </w:tcPr>
          <w:p>
            <w:r/>
            <w:r>
              <w:rPr>
                <w:sz w:val="19"/>
              </w:rPr>
              <w:t>Leads audited (cumulative)</w:t>
            </w:r>
          </w:p>
        </w:tc>
        <w:tc>
          <w:tcPr>
            <w:tcW w:type="dxa" w:w="3456"/>
          </w:tcPr>
          <w:p>
            <w:r/>
            <w:r>
              <w:rPr>
                <w:sz w:val="19"/>
              </w:rPr>
              <w:t>50,000</w:t>
            </w:r>
          </w:p>
        </w:tc>
      </w:tr>
      <w:tr>
        <w:tc>
          <w:tcPr>
            <w:tcW w:type="dxa" w:w="5760"/>
            <w:shd w:val="clear" w:fill="FAF5EF"/>
          </w:tcPr>
          <w:p>
            <w:r/>
            <w:r>
              <w:rPr>
                <w:sz w:val="19"/>
              </w:rPr>
              <w:t>Junk rate found (proof of value)</w:t>
            </w:r>
          </w:p>
        </w:tc>
        <w:tc>
          <w:tcPr>
            <w:tcW w:type="dxa" w:w="3456"/>
            <w:shd w:val="clear" w:fill="FAF5EF"/>
          </w:tcPr>
          <w:p>
            <w:r/>
            <w:r>
              <w:rPr>
                <w:sz w:val="19"/>
              </w:rPr>
              <w:t>&gt; 15%</w:t>
            </w:r>
          </w:p>
        </w:tc>
      </w:tr>
      <w:tr>
        <w:tc>
          <w:tcPr>
            <w:tcW w:type="dxa" w:w="5760"/>
          </w:tcPr>
          <w:p>
            <w:r/>
            <w:r>
              <w:rPr>
                <w:sz w:val="19"/>
              </w:rPr>
              <w:t>₹ recovered (customer-visible)</w:t>
            </w:r>
          </w:p>
        </w:tc>
        <w:tc>
          <w:tcPr>
            <w:tcW w:type="dxa" w:w="3456"/>
          </w:tcPr>
          <w:p>
            <w:r/>
            <w:r>
              <w:rPr>
                <w:sz w:val="19"/>
              </w:rPr>
              <w:t>₹15–20L cumulative</w:t>
            </w:r>
          </w:p>
        </w:tc>
      </w:tr>
    </w:tbl>
    <w:p>
      <w:pPr>
        <w:spacing w:after="80"/>
      </w:pPr>
    </w:p>
    <w:p>
      <w:r>
        <w:br w:type="page"/>
      </w:r>
    </w:p>
    <w:p>
      <w:pPr>
        <w:pStyle w:val="Heading1"/>
      </w:pPr>
      <w:r>
        <w:t>8. Risks &amp; Mitigations</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7706"/>
          </w:tcPr>
          <w:p>
            <w:r/>
            <w:r>
              <w:rPr>
                <w:b/>
                <w:color w:val="FFFFFF"/>
                <w:sz w:val="19"/>
              </w:rPr>
              <w:t>Risk</w:t>
            </w:r>
          </w:p>
        </w:tc>
        <w:tc>
          <w:tcPr>
            <w:tcW w:type="dxa" w:w="6912"/>
            <w:shd w:val="clear" w:fill="D97706"/>
          </w:tcPr>
          <w:p>
            <w:r/>
            <w:r>
              <w:rPr>
                <w:b/>
                <w:color w:val="FFFFFF"/>
                <w:sz w:val="19"/>
              </w:rPr>
              <w:t>Mitigation (in place / planned)</w:t>
            </w:r>
          </w:p>
        </w:tc>
      </w:tr>
      <w:tr>
        <w:tc>
          <w:tcPr>
            <w:tcW w:type="dxa" w:w="3168"/>
          </w:tcPr>
          <w:p>
            <w:r/>
            <w:r>
              <w:rPr>
                <w:sz w:val="19"/>
              </w:rPr>
              <w:t>Subscriber legal claim: “you didn't really audit”</w:t>
            </w:r>
          </w:p>
        </w:tc>
        <w:tc>
          <w:tcPr>
            <w:tcW w:type="dxa" w:w="6912"/>
          </w:tcPr>
          <w:p>
            <w:r/>
            <w:r>
              <w:rPr>
                <w:sz w:val="19"/>
              </w:rPr>
              <w:t>ToS v2.0 §2: audit = automated algorithmic scoring via official APIs, explicitly not human verification; no detection guarantees; accuracy claims are targets, not contracts. Acceptance recorded per user with version + timestamp.</w:t>
            </w:r>
          </w:p>
        </w:tc>
      </w:tr>
      <w:tr>
        <w:tc>
          <w:tcPr>
            <w:tcW w:type="dxa" w:w="3168"/>
            <w:shd w:val="clear" w:fill="FAF5EF"/>
          </w:tcPr>
          <w:p>
            <w:r/>
            <w:r>
              <w:rPr>
                <w:sz w:val="19"/>
              </w:rPr>
              <w:t>Ad platform refund decisions</w:t>
            </w:r>
          </w:p>
        </w:tc>
        <w:tc>
          <w:tcPr>
            <w:tcW w:type="dxa" w:w="6912"/>
            <w:shd w:val="clear" w:fill="FAF5EF"/>
          </w:tcPr>
          <w:p>
            <w:r/>
            <w:r>
              <w:rPr>
                <w:sz w:val="19"/>
              </w:rPr>
              <w:t>ToS §2: refunds are at the platform's sole discretion; AdGuard only facilitates evidence + claim files.</w:t>
            </w:r>
          </w:p>
        </w:tc>
      </w:tr>
      <w:tr>
        <w:tc>
          <w:tcPr>
            <w:tcW w:type="dxa" w:w="3168"/>
          </w:tcPr>
          <w:p>
            <w:r/>
            <w:r>
              <w:rPr>
                <w:sz w:val="19"/>
              </w:rPr>
              <w:t>Liability exposure</w:t>
            </w:r>
          </w:p>
        </w:tc>
        <w:tc>
          <w:tcPr>
            <w:tcW w:type="dxa" w:w="6912"/>
          </w:tcPr>
          <w:p>
            <w:r/>
            <w:r>
              <w:rPr>
                <w:sz w:val="19"/>
              </w:rPr>
              <w:t>ToS §12: liability capped at 3 months' fees; no indirect damages.</w:t>
            </w:r>
          </w:p>
        </w:tc>
      </w:tr>
      <w:tr>
        <w:tc>
          <w:tcPr>
            <w:tcW w:type="dxa" w:w="3168"/>
            <w:shd w:val="clear" w:fill="FAF5EF"/>
          </w:tcPr>
          <w:p>
            <w:r/>
            <w:r>
              <w:rPr>
                <w:sz w:val="19"/>
              </w:rPr>
              <w:t>Free-trial farming / abuse</w:t>
            </w:r>
          </w:p>
        </w:tc>
        <w:tc>
          <w:tcPr>
            <w:tcW w:type="dxa" w:w="6912"/>
            <w:shd w:val="clear" w:fill="FAF5EF"/>
          </w:tcPr>
          <w:p>
            <w:r/>
            <w:r>
              <w:rPr>
                <w:sz w:val="19"/>
              </w:rPr>
              <w:t>Signup abuse guard live (phone/company pattern detection, admin flags); hard-stop quotas cap any abuse at 300 leads.</w:t>
            </w:r>
          </w:p>
        </w:tc>
      </w:tr>
      <w:tr>
        <w:tc>
          <w:tcPr>
            <w:tcW w:type="dxa" w:w="3168"/>
          </w:tcPr>
          <w:p>
            <w:r/>
            <w:r>
              <w:rPr>
                <w:sz w:val="19"/>
              </w:rPr>
              <w:t>Code/IP theft (competitor clones the app)</w:t>
            </w:r>
          </w:p>
        </w:tc>
        <w:tc>
          <w:tcPr>
            <w:tcW w:type="dxa" w:w="6912"/>
          </w:tcPr>
          <w:p>
            <w:r/>
            <w:r>
              <w:rPr>
                <w:sz w:val="19"/>
              </w:rPr>
              <w:t>ToS §6 prohibits reverse-engineering/derivatives (damages + injunction). Per-build invisible watermarks embedded in every page; proprietary notices in footers; repos private; legal base to act.</w:t>
            </w:r>
          </w:p>
        </w:tc>
      </w:tr>
      <w:tr>
        <w:tc>
          <w:tcPr>
            <w:tcW w:type="dxa" w:w="3168"/>
            <w:shd w:val="clear" w:fill="FAF5EF"/>
          </w:tcPr>
          <w:p>
            <w:r/>
            <w:r>
              <w:rPr>
                <w:sz w:val="19"/>
              </w:rPr>
              <w:t>Email deliverability (Gmail relay ceiling)</w:t>
            </w:r>
          </w:p>
        </w:tc>
        <w:tc>
          <w:tcPr>
            <w:tcW w:type="dxa" w:w="6912"/>
            <w:shd w:val="clear" w:fill="FAF5EF"/>
          </w:tcPr>
          <w:p>
            <w:r/>
            <w:r>
              <w:rPr>
                <w:sz w:val="19"/>
              </w:rPr>
              <w:t>Already observed: personal Gmail relay limits scale. Mitigation: domain mailbox (adguard domain + SPF/DKIM) queued for purchase.</w:t>
            </w:r>
          </w:p>
        </w:tc>
      </w:tr>
      <w:tr>
        <w:tc>
          <w:tcPr>
            <w:tcW w:type="dxa" w:w="3168"/>
          </w:tcPr>
          <w:p>
            <w:r/>
            <w:r>
              <w:rPr>
                <w:sz w:val="19"/>
              </w:rPr>
              <w:t>Platform API changes (Google/Meta)</w:t>
            </w:r>
          </w:p>
        </w:tc>
        <w:tc>
          <w:tcPr>
            <w:tcW w:type="dxa" w:w="6912"/>
          </w:tcPr>
          <w:p>
            <w:r/>
            <w:r>
              <w:rPr>
                <w:sz w:val="19"/>
              </w:rPr>
              <w:t>Official APIs only; multi-identity fallbacks built; changes absorbed by webhook adapter layer.</w:t>
            </w:r>
          </w:p>
        </w:tc>
      </w:tr>
      <w:tr>
        <w:tc>
          <w:tcPr>
            <w:tcW w:type="dxa" w:w="3168"/>
            <w:shd w:val="clear" w:fill="FAF5EF"/>
          </w:tcPr>
          <w:p>
            <w:r/>
            <w:r>
              <w:rPr>
                <w:sz w:val="19"/>
              </w:rPr>
              <w:t>Support load at growth</w:t>
            </w:r>
          </w:p>
        </w:tc>
        <w:tc>
          <w:tcPr>
            <w:tcW w:type="dxa" w:w="6912"/>
            <w:shd w:val="clear" w:fill="FAF5EF"/>
          </w:tcPr>
          <w:p>
            <w:r/>
            <w:r>
              <w:rPr>
                <w:sz w:val="19"/>
              </w:rPr>
              <w:t>Academy + setup guide self-serve content; weekly digest emails; ticket system with priority for paid plans.</w:t>
            </w:r>
          </w:p>
        </w:tc>
      </w:tr>
    </w:tbl>
    <w:p>
      <w:pPr>
        <w:spacing w:after="80"/>
      </w:pPr>
    </w:p>
    <w:p>
      <w:pPr>
        <w:pStyle w:val="Heading1"/>
      </w:pPr>
      <w:r>
        <w:t>9. Approvals Requested</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D97706"/>
          </w:tcPr>
          <w:p>
            <w:r/>
            <w:r>
              <w:rPr>
                <w:b/>
                <w:color w:val="FFFFFF"/>
                <w:sz w:val="19"/>
              </w:rPr>
              <w:t>#</w:t>
            </w:r>
          </w:p>
        </w:tc>
        <w:tc>
          <w:tcPr>
            <w:tcW w:type="dxa" w:w="3168"/>
            <w:shd w:val="clear" w:fill="D97706"/>
          </w:tcPr>
          <w:p>
            <w:r/>
            <w:r>
              <w:rPr>
                <w:b/>
                <w:color w:val="FFFFFF"/>
                <w:sz w:val="19"/>
              </w:rPr>
              <w:t>Approval</w:t>
            </w:r>
          </w:p>
        </w:tc>
        <w:tc>
          <w:tcPr>
            <w:tcW w:type="dxa" w:w="6336"/>
            <w:shd w:val="clear" w:fill="D97706"/>
          </w:tcPr>
          <w:p>
            <w:r/>
            <w:r>
              <w:rPr>
                <w:b/>
                <w:color w:val="FFFFFF"/>
                <w:sz w:val="19"/>
              </w:rPr>
              <w:t>Detail</w:t>
            </w:r>
          </w:p>
        </w:tc>
      </w:tr>
      <w:tr>
        <w:tc>
          <w:tcPr>
            <w:tcW w:type="dxa" w:w="576"/>
          </w:tcPr>
          <w:p>
            <w:r/>
            <w:r>
              <w:rPr>
                <w:sz w:val="19"/>
              </w:rPr>
              <w:t>1</w:t>
            </w:r>
          </w:p>
        </w:tc>
        <w:tc>
          <w:tcPr>
            <w:tcW w:type="dxa" w:w="3168"/>
          </w:tcPr>
          <w:p>
            <w:r/>
            <w:r>
              <w:rPr>
                <w:sz w:val="19"/>
              </w:rPr>
              <w:t>Razorpay LIVE activation</w:t>
            </w:r>
          </w:p>
        </w:tc>
        <w:tc>
          <w:tcPr>
            <w:tcW w:type="dxa" w:w="6336"/>
          </w:tcPr>
          <w:p>
            <w:r/>
            <w:r>
              <w:rPr>
                <w:sz w:val="19"/>
              </w:rPr>
              <w:t>KYC under CHLEAR entity; bank account for settlement; keys handed to engineering for the 1-hour flip</w:t>
            </w:r>
          </w:p>
        </w:tc>
      </w:tr>
      <w:tr>
        <w:tc>
          <w:tcPr>
            <w:tcW w:type="dxa" w:w="576"/>
            <w:shd w:val="clear" w:fill="FAF5EF"/>
          </w:tcPr>
          <w:p>
            <w:r/>
            <w:r>
              <w:rPr>
                <w:sz w:val="19"/>
              </w:rPr>
              <w:t>2</w:t>
            </w:r>
          </w:p>
        </w:tc>
        <w:tc>
          <w:tcPr>
            <w:tcW w:type="dxa" w:w="3168"/>
            <w:shd w:val="clear" w:fill="FAF5EF"/>
          </w:tcPr>
          <w:p>
            <w:r/>
            <w:r>
              <w:rPr>
                <w:sz w:val="19"/>
              </w:rPr>
              <w:t>Pricing confirmation</w:t>
            </w:r>
          </w:p>
        </w:tc>
        <w:tc>
          <w:tcPr>
            <w:tcW w:type="dxa" w:w="6336"/>
            <w:shd w:val="clear" w:fill="FAF5EF"/>
          </w:tcPr>
          <w:p>
            <w:r/>
            <w:r>
              <w:rPr>
                <w:sz w:val="19"/>
              </w:rPr>
              <w:t>₹4,999 / ₹14,999 / ₹39,999 + call packs ₹799/₹1,999/₹2,999 (all ex-GST) as published</w:t>
            </w:r>
          </w:p>
        </w:tc>
      </w:tr>
      <w:tr>
        <w:tc>
          <w:tcPr>
            <w:tcW w:type="dxa" w:w="576"/>
          </w:tcPr>
          <w:p>
            <w:r/>
            <w:r>
              <w:rPr>
                <w:sz w:val="19"/>
              </w:rPr>
              <w:t>3</w:t>
            </w:r>
          </w:p>
        </w:tc>
        <w:tc>
          <w:tcPr>
            <w:tcW w:type="dxa" w:w="3168"/>
          </w:tcPr>
          <w:p>
            <w:r/>
            <w:r>
              <w:rPr>
                <w:sz w:val="19"/>
              </w:rPr>
              <w:t>Budget for 3 months</w:t>
            </w:r>
          </w:p>
        </w:tc>
        <w:tc>
          <w:tcPr>
            <w:tcW w:type="dxa" w:w="6336"/>
          </w:tcPr>
          <w:p>
            <w:r/>
            <w:r>
              <w:rPr>
                <w:sz w:val="19"/>
              </w:rPr>
              <w:t>₹25–40k/month (infra + support + ₹10k marketing) to reach ₹1L MRR by January</w:t>
            </w:r>
          </w:p>
        </w:tc>
      </w:tr>
      <w:tr>
        <w:tc>
          <w:tcPr>
            <w:tcW w:type="dxa" w:w="576"/>
            <w:shd w:val="clear" w:fill="FAF5EF"/>
          </w:tcPr>
          <w:p>
            <w:r/>
            <w:r>
              <w:rPr>
                <w:sz w:val="19"/>
              </w:rPr>
              <w:t>4</w:t>
            </w:r>
          </w:p>
        </w:tc>
        <w:tc>
          <w:tcPr>
            <w:tcW w:type="dxa" w:w="3168"/>
            <w:shd w:val="clear" w:fill="FAF5EF"/>
          </w:tcPr>
          <w:p>
            <w:r/>
            <w:r>
              <w:rPr>
                <w:sz w:val="19"/>
              </w:rPr>
              <w:t>Domain purchase</w:t>
            </w:r>
          </w:p>
        </w:tc>
        <w:tc>
          <w:tcPr>
            <w:tcW w:type="dxa" w:w="6336"/>
            <w:shd w:val="clear" w:fill="FAF5EF"/>
          </w:tcPr>
          <w:p>
            <w:r/>
            <w:r>
              <w:rPr>
                <w:sz w:val="19"/>
              </w:rPr>
              <w:t>adguard brand domain for email deliverability + white-label (queued)</w:t>
            </w:r>
          </w:p>
        </w:tc>
      </w:tr>
    </w:tbl>
    <w:p>
      <w:pPr>
        <w:spacing w:after="80"/>
      </w:pPr>
    </w:p>
    <w:p>
      <w:pPr>
        <w:spacing w:after="200"/>
      </w:pPr>
      <w:r>
        <w:rPr>
          <w:b w:val="0"/>
          <w:sz w:val="21"/>
        </w:rPr>
      </w:r>
    </w:p>
    <w:p>
      <w:pPr>
        <w:spacing w:after="40"/>
      </w:pPr>
      <w:r>
        <w:rPr>
          <w:b/>
          <w:sz w:val="21"/>
        </w:rPr>
        <w:t>The close:</w:t>
      </w:r>
    </w:p>
    <w:p>
      <w:pPr>
        <w:spacing w:after="120"/>
      </w:pPr>
      <w:r>
        <w:rPr>
          <w:b/>
          <w:sz w:val="24"/>
        </w:rPr>
        <w:t>“One mid-size Meta lead-gen client wastes ₹20,000–50,000 every month on junk leads. AdGuard charges ₹4,999 to stop it — with proof in rupees the client can see. The math sells the product. The only thing between us and the market is a Razorpay activation.”</w:t>
      </w:r>
    </w:p>
    <w:p>
      <w:pPr>
        <w:spacing w:after="480"/>
      </w:pPr>
      <w:r>
        <w:rPr>
          <w:b w:val="0"/>
          <w:sz w:val="21"/>
        </w:rPr>
      </w:r>
    </w:p>
    <w:tbl>
      <w:tblPr>
        <w:tblStyle w:val="TableGrid"/>
        <w:tblW w:type="auto" w:w="0"/>
        <w:jc w:val="center"/>
        <w:tblLook w:firstColumn="1" w:firstRow="1" w:lastColumn="0" w:lastRow="0" w:noHBand="0" w:noVBand="1" w:val="04A0"/>
      </w:tblPr>
      <w:tblGrid>
        <w:gridCol w:w="3264"/>
        <w:gridCol w:w="3264"/>
        <w:gridCol w:w="3264"/>
      </w:tblGrid>
      <w:tr>
        <w:tc>
          <w:tcPr>
            <w:tcW w:type="dxa" w:w="4320"/>
            <w:shd w:val="clear" w:fill="D97706"/>
          </w:tcPr>
          <w:p>
            <w:r/>
            <w:r>
              <w:rPr>
                <w:b/>
                <w:color w:val="FFFFFF"/>
                <w:sz w:val="19"/>
              </w:rPr>
              <w:t>Approved by (Management)</w:t>
            </w:r>
          </w:p>
        </w:tc>
        <w:tc>
          <w:tcPr>
            <w:tcW w:type="dxa" w:w="2016"/>
            <w:shd w:val="clear" w:fill="D97706"/>
          </w:tcPr>
          <w:p>
            <w:r/>
            <w:r>
              <w:rPr>
                <w:b/>
                <w:color w:val="FFFFFF"/>
                <w:sz w:val="19"/>
              </w:rPr>
              <w:t>Date</w:t>
            </w:r>
          </w:p>
        </w:tc>
        <w:tc>
          <w:tcPr>
            <w:tcW w:type="dxa" w:w="3744"/>
            <w:shd w:val="clear" w:fill="D97706"/>
          </w:tcPr>
          <w:p>
            <w:r/>
            <w:r>
              <w:rPr>
                <w:b/>
                <w:color w:val="FFFFFF"/>
                <w:sz w:val="19"/>
              </w:rPr>
              <w:t>Signature</w:t>
            </w:r>
          </w:p>
        </w:tc>
      </w:tr>
      <w:tr>
        <w:tc>
          <w:tcPr>
            <w:tcW w:type="dxa" w:w="4320"/>
          </w:tcPr>
          <w:p>
            <w:r/>
            <w:r>
              <w:rPr>
                <w:sz w:val="19"/>
              </w:rPr>
            </w:r>
          </w:p>
        </w:tc>
        <w:tc>
          <w:tcPr>
            <w:tcW w:type="dxa" w:w="2016"/>
          </w:tcPr>
          <w:p>
            <w:r/>
            <w:r>
              <w:rPr>
                <w:sz w:val="19"/>
              </w:rPr>
            </w:r>
          </w:p>
        </w:tc>
        <w:tc>
          <w:tcPr>
            <w:tcW w:type="dxa" w:w="3744"/>
          </w:tcPr>
          <w:p>
            <w:r/>
            <w:r>
              <w:rPr>
                <w:sz w:val="19"/>
              </w:rPr>
            </w:r>
          </w:p>
        </w:tc>
      </w:tr>
      <w:tr>
        <w:tc>
          <w:tcPr>
            <w:tcW w:type="dxa" w:w="4320"/>
            <w:shd w:val="clear" w:fill="FAF5EF"/>
          </w:tcPr>
          <w:p>
            <w:r/>
            <w:r>
              <w:rPr>
                <w:sz w:val="19"/>
              </w:rPr>
            </w:r>
          </w:p>
        </w:tc>
        <w:tc>
          <w:tcPr>
            <w:tcW w:type="dxa" w:w="2016"/>
            <w:shd w:val="clear" w:fill="FAF5EF"/>
          </w:tcPr>
          <w:p>
            <w:r/>
            <w:r>
              <w:rPr>
                <w:sz w:val="19"/>
              </w:rPr>
            </w:r>
          </w:p>
        </w:tc>
        <w:tc>
          <w:tcPr>
            <w:tcW w:type="dxa" w:w="3744"/>
            <w:shd w:val="clear" w:fill="FAF5EF"/>
          </w:tcPr>
          <w:p>
            <w:r/>
            <w:r>
              <w:rPr>
                <w:sz w:val="19"/>
              </w:rPr>
            </w:r>
          </w:p>
        </w:tc>
      </w:tr>
      <w:tr>
        <w:tc>
          <w:tcPr>
            <w:tcW w:type="dxa" w:w="4320"/>
          </w:tcPr>
          <w:p>
            <w:r/>
            <w:r>
              <w:rPr>
                <w:sz w:val="19"/>
              </w:rPr>
            </w:r>
          </w:p>
        </w:tc>
        <w:tc>
          <w:tcPr>
            <w:tcW w:type="dxa" w:w="2016"/>
          </w:tcPr>
          <w:p>
            <w:r/>
            <w:r>
              <w:rPr>
                <w:sz w:val="19"/>
              </w:rPr>
            </w:r>
          </w:p>
        </w:tc>
        <w:tc>
          <w:tcPr>
            <w:tcW w:type="dxa" w:w="3744"/>
          </w:tcPr>
          <w:p>
            <w:r/>
            <w:r>
              <w:rPr>
                <w:sz w:val="19"/>
              </w:rPr>
            </w:r>
          </w:p>
        </w:tc>
      </w:tr>
    </w:tbl>
    <w:p>
      <w:pPr>
        <w:spacing w:after="80"/>
      </w:pP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9770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9770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770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