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201"/>
        <w:gridCol w:w="4206"/>
        <w:gridCol w:w="1149"/>
      </w:tblGrid>
      <w:tr w:rsidR="00FA53E9" w:rsidRPr="00FA53E9" w14:paraId="4BAD01D2" w14:textId="77777777" w:rsidTr="00FA5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185B1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B27C18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04F5F4F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085B8D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Durée</w:t>
            </w:r>
          </w:p>
        </w:tc>
      </w:tr>
      <w:tr w:rsidR="00FA53E9" w:rsidRPr="00FA53E9" w14:paraId="4AE705DA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A7B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PHASE 0 — Préparation</w:t>
            </w:r>
          </w:p>
        </w:tc>
        <w:tc>
          <w:tcPr>
            <w:tcW w:w="0" w:type="auto"/>
            <w:vAlign w:val="center"/>
            <w:hideMark/>
          </w:tcPr>
          <w:p w14:paraId="70CDC37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D0779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896B5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2 mois</w:t>
            </w:r>
          </w:p>
        </w:tc>
      </w:tr>
      <w:tr w:rsidR="00FA53E9" w:rsidRPr="00FA53E9" w14:paraId="3C048BC5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46C0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31F0353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Setup environnement</w:t>
            </w:r>
          </w:p>
        </w:tc>
        <w:tc>
          <w:tcPr>
            <w:tcW w:w="0" w:type="auto"/>
            <w:vAlign w:val="center"/>
            <w:hideMark/>
          </w:tcPr>
          <w:p w14:paraId="67CF5D3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Docker, Git, CI/CD GitHub Actions, serveurs staging &amp; production</w:t>
            </w:r>
          </w:p>
        </w:tc>
        <w:tc>
          <w:tcPr>
            <w:tcW w:w="0" w:type="auto"/>
            <w:vAlign w:val="center"/>
            <w:hideMark/>
          </w:tcPr>
          <w:p w14:paraId="1939086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60D1BE16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E66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3FE9F9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Modèle de données</w:t>
            </w:r>
          </w:p>
        </w:tc>
        <w:tc>
          <w:tcPr>
            <w:tcW w:w="0" w:type="auto"/>
            <w:vAlign w:val="center"/>
            <w:hideMark/>
          </w:tcPr>
          <w:p w14:paraId="0A3E36D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Schéma PostgreSQL : dossiers, parties, documents, audiences, organisations</w:t>
            </w:r>
          </w:p>
        </w:tc>
        <w:tc>
          <w:tcPr>
            <w:tcW w:w="0" w:type="auto"/>
            <w:vAlign w:val="center"/>
            <w:hideMark/>
          </w:tcPr>
          <w:p w14:paraId="0FCA595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5C9C0432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324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67390E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Maquettes Figma</w:t>
            </w:r>
          </w:p>
        </w:tc>
        <w:tc>
          <w:tcPr>
            <w:tcW w:w="0" w:type="auto"/>
            <w:vAlign w:val="center"/>
            <w:hideMark/>
          </w:tcPr>
          <w:p w14:paraId="4A8BCAB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Écrans principaux en arabe RTL — validation par 5 avocats marocains</w:t>
            </w:r>
          </w:p>
        </w:tc>
        <w:tc>
          <w:tcPr>
            <w:tcW w:w="0" w:type="auto"/>
            <w:vAlign w:val="center"/>
            <w:hideMark/>
          </w:tcPr>
          <w:p w14:paraId="6FEC704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19EC5376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D930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9EDFD4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Déclaration CNDP</w:t>
            </w:r>
          </w:p>
        </w:tc>
        <w:tc>
          <w:tcPr>
            <w:tcW w:w="0" w:type="auto"/>
            <w:vAlign w:val="center"/>
            <w:hideMark/>
          </w:tcPr>
          <w:p w14:paraId="1A1A436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Dépôt du dossier auprès de la CNDP (délai admin 4–8 semaines)</w:t>
            </w:r>
          </w:p>
        </w:tc>
        <w:tc>
          <w:tcPr>
            <w:tcW w:w="0" w:type="auto"/>
            <w:vAlign w:val="center"/>
            <w:hideMark/>
          </w:tcPr>
          <w:p w14:paraId="7C99234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En parallèle</w:t>
            </w:r>
          </w:p>
        </w:tc>
      </w:tr>
      <w:tr w:rsidR="00FA53E9" w:rsidRPr="00FA53E9" w14:paraId="1E9FF435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8D8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PHASE 1 — MVP</w:t>
            </w:r>
          </w:p>
        </w:tc>
        <w:tc>
          <w:tcPr>
            <w:tcW w:w="0" w:type="auto"/>
            <w:vAlign w:val="center"/>
            <w:hideMark/>
          </w:tcPr>
          <w:p w14:paraId="3924BF6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1CF84D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2835A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6 mois</w:t>
            </w:r>
          </w:p>
        </w:tc>
      </w:tr>
      <w:tr w:rsidR="00FA53E9" w:rsidRPr="00FA53E9" w14:paraId="0D32C929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5E3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33F3FA7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Auth &amp; multi-tenant</w:t>
            </w:r>
          </w:p>
        </w:tc>
        <w:tc>
          <w:tcPr>
            <w:tcW w:w="0" w:type="auto"/>
            <w:vAlign w:val="center"/>
            <w:hideMark/>
          </w:tcPr>
          <w:p w14:paraId="31DD6D6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Inscription cabinet, connexion OTP SMS (Keycloak), gestion rôles</w:t>
            </w:r>
          </w:p>
        </w:tc>
        <w:tc>
          <w:tcPr>
            <w:tcW w:w="0" w:type="auto"/>
            <w:vAlign w:val="center"/>
            <w:hideMark/>
          </w:tcPr>
          <w:p w14:paraId="16BA8952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1D42333E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F07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225563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Module Dossiers</w:t>
            </w:r>
          </w:p>
        </w:tc>
        <w:tc>
          <w:tcPr>
            <w:tcW w:w="0" w:type="auto"/>
            <w:vAlign w:val="center"/>
            <w:hideMark/>
          </w:tcPr>
          <w:p w14:paraId="3D68F9A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Création, modification, clôture, statuts, historique, attribution</w:t>
            </w:r>
          </w:p>
        </w:tc>
        <w:tc>
          <w:tcPr>
            <w:tcW w:w="0" w:type="auto"/>
            <w:vAlign w:val="center"/>
            <w:hideMark/>
          </w:tcPr>
          <w:p w14:paraId="7F3E8A0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 semaines</w:t>
            </w:r>
          </w:p>
        </w:tc>
      </w:tr>
      <w:tr w:rsidR="00FA53E9" w:rsidRPr="00FA53E9" w14:paraId="51600595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9F6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F52F52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Module Documents</w:t>
            </w:r>
          </w:p>
        </w:tc>
        <w:tc>
          <w:tcPr>
            <w:tcW w:w="0" w:type="auto"/>
            <w:vAlign w:val="center"/>
            <w:hideMark/>
          </w:tcPr>
          <w:p w14:paraId="4C939363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Upload PDF/Word/images, visualisation navigateur, versioning</w:t>
            </w:r>
          </w:p>
        </w:tc>
        <w:tc>
          <w:tcPr>
            <w:tcW w:w="0" w:type="auto"/>
            <w:vAlign w:val="center"/>
            <w:hideMark/>
          </w:tcPr>
          <w:p w14:paraId="548A1BF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3BBAD6E9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1512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360C3B9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Module Agenda</w:t>
            </w:r>
          </w:p>
        </w:tc>
        <w:tc>
          <w:tcPr>
            <w:tcW w:w="0" w:type="auto"/>
            <w:vAlign w:val="center"/>
            <w:hideMark/>
          </w:tcPr>
          <w:p w14:paraId="0E57DB6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Audiences, échéances, alertes SMS/email, types marocains (TPI, CA…)</w:t>
            </w:r>
          </w:p>
        </w:tc>
        <w:tc>
          <w:tcPr>
            <w:tcW w:w="0" w:type="auto"/>
            <w:vAlign w:val="center"/>
            <w:hideMark/>
          </w:tcPr>
          <w:p w14:paraId="5B89422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17B860F1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8A3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369B36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Module Honoraires</w:t>
            </w:r>
          </w:p>
        </w:tc>
        <w:tc>
          <w:tcPr>
            <w:tcW w:w="0" w:type="auto"/>
            <w:vAlign w:val="center"/>
            <w:hideMark/>
          </w:tcPr>
          <w:p w14:paraId="591426F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Notes d'honoraires PDF bilingue, suivi paiements, tableau de bord</w:t>
            </w:r>
          </w:p>
        </w:tc>
        <w:tc>
          <w:tcPr>
            <w:tcW w:w="0" w:type="auto"/>
            <w:vAlign w:val="center"/>
            <w:hideMark/>
          </w:tcPr>
          <w:p w14:paraId="7527ECE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1EE39EEE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BD5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B4A9602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Interface RTL</w:t>
            </w:r>
          </w:p>
        </w:tc>
        <w:tc>
          <w:tcPr>
            <w:tcW w:w="0" w:type="auto"/>
            <w:vAlign w:val="center"/>
            <w:hideMark/>
          </w:tcPr>
          <w:p w14:paraId="17698C7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i18next, support arabe complet, dates grégorienne/hégirienne</w:t>
            </w:r>
          </w:p>
        </w:tc>
        <w:tc>
          <w:tcPr>
            <w:tcW w:w="0" w:type="auto"/>
            <w:vAlign w:val="center"/>
            <w:hideMark/>
          </w:tcPr>
          <w:p w14:paraId="473D89F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772BEB0F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D92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5B1B1B42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Portail client basique</w:t>
            </w:r>
          </w:p>
        </w:tc>
        <w:tc>
          <w:tcPr>
            <w:tcW w:w="0" w:type="auto"/>
            <w:vAlign w:val="center"/>
            <w:hideMark/>
          </w:tcPr>
          <w:p w14:paraId="39F1A35F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Accès par lien OTP SMS, consultation documents partagés</w:t>
            </w:r>
          </w:p>
        </w:tc>
        <w:tc>
          <w:tcPr>
            <w:tcW w:w="0" w:type="auto"/>
            <w:vAlign w:val="center"/>
            <w:hideMark/>
          </w:tcPr>
          <w:p w14:paraId="061538A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39B64580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90B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3ED967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Tests &amp; déploiement MVP</w:t>
            </w:r>
          </w:p>
        </w:tc>
        <w:tc>
          <w:tcPr>
            <w:tcW w:w="0" w:type="auto"/>
            <w:vAlign w:val="center"/>
            <w:hideMark/>
          </w:tcPr>
          <w:p w14:paraId="4CB2594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Jest, Supertest, Playwright RTL — mise en production</w:t>
            </w:r>
          </w:p>
        </w:tc>
        <w:tc>
          <w:tcPr>
            <w:tcW w:w="0" w:type="auto"/>
            <w:vAlign w:val="center"/>
            <w:hideMark/>
          </w:tcPr>
          <w:p w14:paraId="7117D0E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1037CDE3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04A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Apple Color Emoji" w:eastAsia="Times New Roman" w:hAnsi="Apple Color Emoji" w:cs="Apple Color Emoji"/>
                <w:b/>
                <w:bCs/>
              </w:rPr>
              <w:t>🔗</w:t>
            </w: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 xml:space="preserve"> INTÉGRATION MAHAKIM</w:t>
            </w:r>
          </w:p>
        </w:tc>
        <w:tc>
          <w:tcPr>
            <w:tcW w:w="0" w:type="auto"/>
            <w:vAlign w:val="center"/>
            <w:hideMark/>
          </w:tcPr>
          <w:p w14:paraId="0FE093F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99835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513A5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3–4 semaines</w:t>
            </w:r>
          </w:p>
        </w:tc>
      </w:tr>
      <w:tr w:rsidR="00FA53E9" w:rsidRPr="00FA53E9" w14:paraId="6BFBE8F1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2C5F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M.1</w:t>
            </w:r>
          </w:p>
        </w:tc>
        <w:tc>
          <w:tcPr>
            <w:tcW w:w="0" w:type="auto"/>
            <w:vAlign w:val="center"/>
            <w:hideMark/>
          </w:tcPr>
          <w:p w14:paraId="4ACD071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Recherche &amp; mapping</w:t>
            </w:r>
          </w:p>
        </w:tc>
        <w:tc>
          <w:tcPr>
            <w:tcW w:w="0" w:type="auto"/>
            <w:vAlign w:val="center"/>
            <w:hideMark/>
          </w:tcPr>
          <w:p w14:paraId="3696ABC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Étude de l'API/portail Mahakim, mapping des numéros de dossiers marocains</w:t>
            </w:r>
          </w:p>
        </w:tc>
        <w:tc>
          <w:tcPr>
            <w:tcW w:w="0" w:type="auto"/>
            <w:vAlign w:val="center"/>
            <w:hideMark/>
          </w:tcPr>
          <w:p w14:paraId="4D485BF0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04A6E98F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4ED3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M.2</w:t>
            </w:r>
          </w:p>
        </w:tc>
        <w:tc>
          <w:tcPr>
            <w:tcW w:w="0" w:type="auto"/>
            <w:vAlign w:val="center"/>
            <w:hideMark/>
          </w:tcPr>
          <w:p w14:paraId="1DF0D670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Synchronisation dossiers</w:t>
            </w:r>
          </w:p>
        </w:tc>
        <w:tc>
          <w:tcPr>
            <w:tcW w:w="0" w:type="auto"/>
            <w:vAlign w:val="center"/>
            <w:hideMark/>
          </w:tcPr>
          <w:p w14:paraId="3B5F3BB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Import automatique des dossiers inscrits au tribunal depuis Mahakim</w:t>
            </w:r>
          </w:p>
        </w:tc>
        <w:tc>
          <w:tcPr>
            <w:tcW w:w="0" w:type="auto"/>
            <w:vAlign w:val="center"/>
            <w:hideMark/>
          </w:tcPr>
          <w:p w14:paraId="4F838C3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12FC183D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C2AF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M.3</w:t>
            </w:r>
          </w:p>
        </w:tc>
        <w:tc>
          <w:tcPr>
            <w:tcW w:w="0" w:type="auto"/>
            <w:vAlign w:val="center"/>
            <w:hideMark/>
          </w:tcPr>
          <w:p w14:paraId="3EEB5BB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Sync audiences &amp; décisions</w:t>
            </w:r>
          </w:p>
        </w:tc>
        <w:tc>
          <w:tcPr>
            <w:tcW w:w="0" w:type="auto"/>
            <w:vAlign w:val="center"/>
            <w:hideMark/>
          </w:tcPr>
          <w:p w14:paraId="662B22E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Récupération des dates d'audience et décisions rendues en temps réel</w:t>
            </w:r>
          </w:p>
        </w:tc>
        <w:tc>
          <w:tcPr>
            <w:tcW w:w="0" w:type="auto"/>
            <w:vAlign w:val="center"/>
            <w:hideMark/>
          </w:tcPr>
          <w:p w14:paraId="1FE7999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15096A06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A29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M.4</w:t>
            </w:r>
          </w:p>
        </w:tc>
        <w:tc>
          <w:tcPr>
            <w:tcW w:w="0" w:type="auto"/>
            <w:vAlign w:val="center"/>
            <w:hideMark/>
          </w:tcPr>
          <w:p w14:paraId="207C712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Alertes automatiques</w:t>
            </w:r>
          </w:p>
        </w:tc>
        <w:tc>
          <w:tcPr>
            <w:tcW w:w="0" w:type="auto"/>
            <w:vAlign w:val="center"/>
            <w:hideMark/>
          </w:tcPr>
          <w:p w14:paraId="610E514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Notification SMS/email à l'avocat si nouvelle décision sur Mahakim</w:t>
            </w:r>
          </w:p>
        </w:tc>
        <w:tc>
          <w:tcPr>
            <w:tcW w:w="0" w:type="auto"/>
            <w:vAlign w:val="center"/>
            <w:hideMark/>
          </w:tcPr>
          <w:p w14:paraId="7D5084F3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3F29E579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128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PHASE 2 — Enrichissement</w:t>
            </w:r>
          </w:p>
        </w:tc>
        <w:tc>
          <w:tcPr>
            <w:tcW w:w="0" w:type="auto"/>
            <w:vAlign w:val="center"/>
            <w:hideMark/>
          </w:tcPr>
          <w:p w14:paraId="00141D7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BBD51F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EBCD2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7 mois</w:t>
            </w:r>
          </w:p>
        </w:tc>
      </w:tr>
      <w:tr w:rsidR="00FA53E9" w:rsidRPr="00FA53E9" w14:paraId="19A4B4AF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356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0EEF0E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OCR arabe</w:t>
            </w:r>
          </w:p>
        </w:tc>
        <w:tc>
          <w:tcPr>
            <w:tcW w:w="0" w:type="auto"/>
            <w:vAlign w:val="center"/>
            <w:hideMark/>
          </w:tcPr>
          <w:p w14:paraId="199CE67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Tesseract langue arabe — indexation jugements scannés</w:t>
            </w:r>
          </w:p>
        </w:tc>
        <w:tc>
          <w:tcPr>
            <w:tcW w:w="0" w:type="auto"/>
            <w:vAlign w:val="center"/>
            <w:hideMark/>
          </w:tcPr>
          <w:p w14:paraId="334282E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28CF2EF6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4C1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45D879E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Recherche full-text</w:t>
            </w:r>
          </w:p>
        </w:tc>
        <w:tc>
          <w:tcPr>
            <w:tcW w:w="0" w:type="auto"/>
            <w:vAlign w:val="center"/>
            <w:hideMark/>
          </w:tcPr>
          <w:p w14:paraId="1CCA7C4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PostgreSQL full-text search arabe + pg_trgm</w:t>
            </w:r>
          </w:p>
        </w:tc>
        <w:tc>
          <w:tcPr>
            <w:tcW w:w="0" w:type="auto"/>
            <w:vAlign w:val="center"/>
            <w:hideMark/>
          </w:tcPr>
          <w:p w14:paraId="1F0F4B7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67EDE8A5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4A3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29B0F853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Portail client complet</w:t>
            </w:r>
          </w:p>
        </w:tc>
        <w:tc>
          <w:tcPr>
            <w:tcW w:w="0" w:type="auto"/>
            <w:vAlign w:val="center"/>
            <w:hideMark/>
          </w:tcPr>
          <w:p w14:paraId="0533418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Messagerie sécurisée, envoi pièces depuis mobile</w:t>
            </w:r>
          </w:p>
        </w:tc>
        <w:tc>
          <w:tcPr>
            <w:tcW w:w="0" w:type="auto"/>
            <w:vAlign w:val="center"/>
            <w:hideMark/>
          </w:tcPr>
          <w:p w14:paraId="1A6676F2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59E11D89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EDC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64683A4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Suivi du temps</w:t>
            </w:r>
          </w:p>
        </w:tc>
        <w:tc>
          <w:tcPr>
            <w:tcW w:w="0" w:type="auto"/>
            <w:vAlign w:val="center"/>
            <w:hideMark/>
          </w:tcPr>
          <w:p w14:paraId="0D910AA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Minuterie par dossier, tarif horaire, tableau financier</w:t>
            </w:r>
          </w:p>
        </w:tc>
        <w:tc>
          <w:tcPr>
            <w:tcW w:w="0" w:type="auto"/>
            <w:vAlign w:val="center"/>
            <w:hideMark/>
          </w:tcPr>
          <w:p w14:paraId="1052F72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48AA176E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06B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60923D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Sync Google Calendar / Outlook</w:t>
            </w:r>
          </w:p>
        </w:tc>
        <w:tc>
          <w:tcPr>
            <w:tcW w:w="0" w:type="auto"/>
            <w:vAlign w:val="center"/>
            <w:hideMark/>
          </w:tcPr>
          <w:p w14:paraId="37B10A5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Export iCal des audiences</w:t>
            </w:r>
          </w:p>
        </w:tc>
        <w:tc>
          <w:tcPr>
            <w:tcW w:w="0" w:type="auto"/>
            <w:vAlign w:val="center"/>
            <w:hideMark/>
          </w:tcPr>
          <w:p w14:paraId="1DE72CB0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2CE80921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B95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lastRenderedPageBreak/>
              <w:t>2.6</w:t>
            </w:r>
          </w:p>
        </w:tc>
        <w:tc>
          <w:tcPr>
            <w:tcW w:w="0" w:type="auto"/>
            <w:vAlign w:val="center"/>
            <w:hideMark/>
          </w:tcPr>
          <w:p w14:paraId="1A402B67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Paiement CMI</w:t>
            </w:r>
          </w:p>
        </w:tc>
        <w:tc>
          <w:tcPr>
            <w:tcW w:w="0" w:type="auto"/>
            <w:vAlign w:val="center"/>
            <w:hideMark/>
          </w:tcPr>
          <w:p w14:paraId="2ACDDE5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Intégration carte bancaire marocaine pour honoraires clients</w:t>
            </w:r>
          </w:p>
        </w:tc>
        <w:tc>
          <w:tcPr>
            <w:tcW w:w="0" w:type="auto"/>
            <w:vAlign w:val="center"/>
            <w:hideMark/>
          </w:tcPr>
          <w:p w14:paraId="36D88EB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666B6F0B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FA1F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9326DDF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Import CSV/Excel</w:t>
            </w:r>
          </w:p>
        </w:tc>
        <w:tc>
          <w:tcPr>
            <w:tcW w:w="0" w:type="auto"/>
            <w:vAlign w:val="center"/>
            <w:hideMark/>
          </w:tcPr>
          <w:p w14:paraId="7EADF27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Migration depuis outils existants</w:t>
            </w:r>
          </w:p>
        </w:tc>
        <w:tc>
          <w:tcPr>
            <w:tcW w:w="0" w:type="auto"/>
            <w:vAlign w:val="center"/>
            <w:hideMark/>
          </w:tcPr>
          <w:p w14:paraId="723B424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semaine</w:t>
            </w:r>
          </w:p>
        </w:tc>
      </w:tr>
      <w:tr w:rsidR="00FA53E9" w:rsidRPr="00FA53E9" w14:paraId="2D87826B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E89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25D9C7E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Optimisation mobile</w:t>
            </w:r>
          </w:p>
        </w:tc>
        <w:tc>
          <w:tcPr>
            <w:tcW w:w="0" w:type="auto"/>
            <w:vAlign w:val="center"/>
            <w:hideMark/>
          </w:tcPr>
          <w:p w14:paraId="2ED7093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Performance smartphones Android entrée de gamme, connexions 3G</w:t>
            </w:r>
          </w:p>
        </w:tc>
        <w:tc>
          <w:tcPr>
            <w:tcW w:w="0" w:type="auto"/>
            <w:vAlign w:val="center"/>
            <w:hideMark/>
          </w:tcPr>
          <w:p w14:paraId="0A88649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2 semaines</w:t>
            </w:r>
          </w:p>
        </w:tc>
      </w:tr>
      <w:tr w:rsidR="00FA53E9" w:rsidRPr="00FA53E9" w14:paraId="0836F90A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17F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PHASE 3 — Maturité</w:t>
            </w:r>
          </w:p>
        </w:tc>
        <w:tc>
          <w:tcPr>
            <w:tcW w:w="0" w:type="auto"/>
            <w:vAlign w:val="center"/>
            <w:hideMark/>
          </w:tcPr>
          <w:p w14:paraId="05DC2BF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8E66A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053E6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9 mois</w:t>
            </w:r>
          </w:p>
        </w:tc>
      </w:tr>
      <w:tr w:rsidR="00FA53E9" w:rsidRPr="00FA53E9" w14:paraId="080A1799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BA6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5D876C4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App mobile Android</w:t>
            </w:r>
          </w:p>
        </w:tc>
        <w:tc>
          <w:tcPr>
            <w:tcW w:w="0" w:type="auto"/>
            <w:vAlign w:val="center"/>
            <w:hideMark/>
          </w:tcPr>
          <w:p w14:paraId="2F52242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React Native — Google Play</w:t>
            </w:r>
          </w:p>
        </w:tc>
        <w:tc>
          <w:tcPr>
            <w:tcW w:w="0" w:type="auto"/>
            <w:vAlign w:val="center"/>
            <w:hideMark/>
          </w:tcPr>
          <w:p w14:paraId="7D42D59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 mois</w:t>
            </w:r>
          </w:p>
        </w:tc>
      </w:tr>
      <w:tr w:rsidR="00FA53E9" w:rsidRPr="00FA53E9" w14:paraId="2EA0C5B8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EC2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A6C388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API publique</w:t>
            </w:r>
          </w:p>
        </w:tc>
        <w:tc>
          <w:tcPr>
            <w:tcW w:w="0" w:type="auto"/>
            <w:vAlign w:val="center"/>
            <w:hideMark/>
          </w:tcPr>
          <w:p w14:paraId="14C1D6D5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Documentation OpenAPI, intégrations comptables (Sage Maroc, Cegid)</w:t>
            </w:r>
          </w:p>
        </w:tc>
        <w:tc>
          <w:tcPr>
            <w:tcW w:w="0" w:type="auto"/>
            <w:vAlign w:val="center"/>
            <w:hideMark/>
          </w:tcPr>
          <w:p w14:paraId="6B5B74E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mois</w:t>
            </w:r>
          </w:p>
        </w:tc>
      </w:tr>
      <w:tr w:rsidR="00FA53E9" w:rsidRPr="00FA53E9" w14:paraId="009DD296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EACC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3EB594D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Rapports automatiques</w:t>
            </w:r>
          </w:p>
        </w:tc>
        <w:tc>
          <w:tcPr>
            <w:tcW w:w="0" w:type="auto"/>
            <w:vAlign w:val="center"/>
            <w:hideMark/>
          </w:tcPr>
          <w:p w14:paraId="571BB1D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PDF mensuel par cabinet en arabe</w:t>
            </w:r>
          </w:p>
        </w:tc>
        <w:tc>
          <w:tcPr>
            <w:tcW w:w="0" w:type="auto"/>
            <w:vAlign w:val="center"/>
            <w:hideMark/>
          </w:tcPr>
          <w:p w14:paraId="5C81F4E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 semaines</w:t>
            </w:r>
          </w:p>
        </w:tc>
      </w:tr>
      <w:tr w:rsidR="00FA53E9" w:rsidRPr="00FA53E9" w14:paraId="65D01C97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779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D8CD76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Module Notaires/Adoul</w:t>
            </w:r>
          </w:p>
        </w:tc>
        <w:tc>
          <w:tcPr>
            <w:tcW w:w="0" w:type="auto"/>
            <w:vAlign w:val="center"/>
            <w:hideMark/>
          </w:tcPr>
          <w:p w14:paraId="7F30D09A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Actes authentiques, registres spécifiques</w:t>
            </w:r>
          </w:p>
        </w:tc>
        <w:tc>
          <w:tcPr>
            <w:tcW w:w="0" w:type="auto"/>
            <w:vAlign w:val="center"/>
            <w:hideMark/>
          </w:tcPr>
          <w:p w14:paraId="0EBF8EA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1 mois</w:t>
            </w:r>
          </w:p>
        </w:tc>
      </w:tr>
      <w:tr w:rsidR="00FA53E9" w:rsidRPr="00FA53E9" w14:paraId="53A9ED84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C61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8ED362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Support Amazigh (Tifinagh)</w:t>
            </w:r>
          </w:p>
        </w:tc>
        <w:tc>
          <w:tcPr>
            <w:tcW w:w="0" w:type="auto"/>
            <w:vAlign w:val="center"/>
            <w:hideMark/>
          </w:tcPr>
          <w:p w14:paraId="7F4328E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Interface trilingue</w:t>
            </w:r>
          </w:p>
        </w:tc>
        <w:tc>
          <w:tcPr>
            <w:tcW w:w="0" w:type="auto"/>
            <w:vAlign w:val="center"/>
            <w:hideMark/>
          </w:tcPr>
          <w:p w14:paraId="4E84B1E8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3 semaines</w:t>
            </w:r>
          </w:p>
        </w:tc>
      </w:tr>
    </w:tbl>
    <w:p w14:paraId="3909D1CC" w14:textId="77777777" w:rsidR="00FA53E9" w:rsidRPr="00FA53E9" w:rsidRDefault="00AB7F2C" w:rsidP="00FA53E9">
      <w:pPr>
        <w:rPr>
          <w:rFonts w:ascii="Times New Roman" w:eastAsia="Times New Roman" w:hAnsi="Times New Roman" w:cs="Times New Roman"/>
        </w:rPr>
      </w:pPr>
      <w:r w:rsidRPr="00FA53E9">
        <w:rPr>
          <w:rFonts w:ascii="Times New Roman" w:eastAsia="Times New Roman" w:hAnsi="Times New Roman" w:cs="Times New Roman"/>
          <w:noProof/>
        </w:rPr>
        <w:pict w14:anchorId="573AEA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C247B7" w14:textId="77777777" w:rsidR="00FA53E9" w:rsidRPr="00FA53E9" w:rsidRDefault="00FA53E9" w:rsidP="00FA53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3E9">
        <w:rPr>
          <w:rFonts w:ascii="Times New Roman" w:eastAsia="Times New Roman" w:hAnsi="Times New Roman" w:cs="Times New Roman"/>
          <w:b/>
          <w:bCs/>
          <w:sz w:val="27"/>
          <w:szCs w:val="27"/>
        </w:rPr>
        <w:t>Concernant l'intégration Mahakim</w:t>
      </w:r>
    </w:p>
    <w:p w14:paraId="604611B1" w14:textId="77777777" w:rsidR="00FA53E9" w:rsidRPr="00FA53E9" w:rsidRDefault="00FA53E9" w:rsidP="00FA53E9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FA53E9">
        <w:rPr>
          <w:rFonts w:ascii="Apple Color Emoji" w:eastAsia="Times New Roman" w:hAnsi="Apple Color Emoji" w:cs="Apple Color Emoji"/>
        </w:rPr>
        <w:t>⚠️</w:t>
      </w:r>
      <w:r w:rsidRPr="00FA53E9">
        <w:rPr>
          <w:rFonts w:ascii="Times New Roman" w:eastAsia="Times New Roman" w:hAnsi="Times New Roman" w:cs="Times New Roman"/>
        </w:rPr>
        <w:t xml:space="preserve"> </w:t>
      </w:r>
      <w:r w:rsidRPr="00FA53E9">
        <w:rPr>
          <w:rFonts w:ascii="Times New Roman" w:eastAsia="Times New Roman" w:hAnsi="Times New Roman" w:cs="Times New Roman"/>
          <w:b/>
          <w:bCs/>
        </w:rPr>
        <w:t>Point critique à vérifier en amont :</w:t>
      </w:r>
      <w:r w:rsidRPr="00FA53E9">
        <w:rPr>
          <w:rFonts w:ascii="Times New Roman" w:eastAsia="Times New Roman" w:hAnsi="Times New Roman" w:cs="Times New Roman"/>
        </w:rPr>
        <w:t xml:space="preserve"> Le portail Mahakim n'expose pas encore d'API publique officielle (mentionné dans le cahier des charges lui-même). Il faudra donc prévoir deux scénarios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5071"/>
        <w:gridCol w:w="2746"/>
      </w:tblGrid>
      <w:tr w:rsidR="00FA53E9" w:rsidRPr="00FA53E9" w14:paraId="0EEA653C" w14:textId="77777777" w:rsidTr="00FA5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1A7D0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552FC1B6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Approche</w:t>
            </w:r>
          </w:p>
        </w:tc>
        <w:tc>
          <w:tcPr>
            <w:tcW w:w="0" w:type="auto"/>
            <w:vAlign w:val="center"/>
            <w:hideMark/>
          </w:tcPr>
          <w:p w14:paraId="2427335E" w14:textId="77777777" w:rsidR="00FA53E9" w:rsidRPr="00FA53E9" w:rsidRDefault="00FA53E9" w:rsidP="00FA53E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Complexité</w:t>
            </w:r>
          </w:p>
        </w:tc>
      </w:tr>
      <w:tr w:rsidR="00FA53E9" w:rsidRPr="00FA53E9" w14:paraId="16D7DBCD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583B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API officielle disponible</w:t>
            </w:r>
          </w:p>
        </w:tc>
        <w:tc>
          <w:tcPr>
            <w:tcW w:w="0" w:type="auto"/>
            <w:vAlign w:val="center"/>
            <w:hideMark/>
          </w:tcPr>
          <w:p w14:paraId="4657BA6E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Intégration directe REST/OAuth avec le Ministère de la Justice</w:t>
            </w:r>
          </w:p>
        </w:tc>
        <w:tc>
          <w:tcPr>
            <w:tcW w:w="0" w:type="auto"/>
            <w:vAlign w:val="center"/>
            <w:hideMark/>
          </w:tcPr>
          <w:p w14:paraId="2E97F67D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Moyenne</w:t>
            </w:r>
          </w:p>
        </w:tc>
      </w:tr>
      <w:tr w:rsidR="00FA53E9" w:rsidRPr="00FA53E9" w14:paraId="16D95374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F866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Pas d'API disponible</w:t>
            </w:r>
          </w:p>
        </w:tc>
        <w:tc>
          <w:tcPr>
            <w:tcW w:w="0" w:type="auto"/>
            <w:vAlign w:val="center"/>
            <w:hideMark/>
          </w:tcPr>
          <w:p w14:paraId="1CA15259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Web scraping ciblé du portail + parsing HTML (solution temporaire)</w:t>
            </w:r>
          </w:p>
        </w:tc>
        <w:tc>
          <w:tcPr>
            <w:tcW w:w="0" w:type="auto"/>
            <w:vAlign w:val="center"/>
            <w:hideMark/>
          </w:tcPr>
          <w:p w14:paraId="73E0EC62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Élevée — risques légaux à évaluer</w:t>
            </w:r>
          </w:p>
        </w:tc>
      </w:tr>
      <w:tr w:rsidR="00FA53E9" w:rsidRPr="00FA53E9" w14:paraId="0F5C695D" w14:textId="77777777" w:rsidTr="00FA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59B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  <w:b/>
                <w:bCs/>
              </w:rPr>
              <w:t>Partenariat MJ</w:t>
            </w:r>
          </w:p>
        </w:tc>
        <w:tc>
          <w:tcPr>
            <w:tcW w:w="0" w:type="auto"/>
            <w:vAlign w:val="center"/>
            <w:hideMark/>
          </w:tcPr>
          <w:p w14:paraId="407498E4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Convention avec le Ministère de la Justice pour accès données</w:t>
            </w:r>
          </w:p>
        </w:tc>
        <w:tc>
          <w:tcPr>
            <w:tcW w:w="0" w:type="auto"/>
            <w:vAlign w:val="center"/>
            <w:hideMark/>
          </w:tcPr>
          <w:p w14:paraId="541A4881" w14:textId="77777777" w:rsidR="00FA53E9" w:rsidRPr="00FA53E9" w:rsidRDefault="00FA53E9" w:rsidP="00FA53E9">
            <w:pPr>
              <w:rPr>
                <w:rFonts w:ascii="Times New Roman" w:eastAsia="Times New Roman" w:hAnsi="Times New Roman" w:cs="Times New Roman"/>
              </w:rPr>
            </w:pPr>
            <w:r w:rsidRPr="00FA53E9">
              <w:rPr>
                <w:rFonts w:ascii="Times New Roman" w:eastAsia="Times New Roman" w:hAnsi="Times New Roman" w:cs="Times New Roman"/>
              </w:rPr>
              <w:t>Long terme — Phase 3</w:t>
            </w:r>
          </w:p>
        </w:tc>
      </w:tr>
    </w:tbl>
    <w:p w14:paraId="6742C8DC" w14:textId="77777777" w:rsidR="00FA53E9" w:rsidRPr="00FA53E9" w:rsidRDefault="00FA53E9" w:rsidP="00FA53E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A53E9">
        <w:rPr>
          <w:rFonts w:ascii="Times New Roman" w:eastAsia="Times New Roman" w:hAnsi="Times New Roman" w:cs="Times New Roman"/>
        </w:rPr>
        <w:t>La voie la plus réaliste pour la Phase 1 est un import manuel via numéro de dossier Mahakim, puis une synchronisation automatique en Phase 2 si l'API devient disponible.</w:t>
      </w:r>
    </w:p>
    <w:p w14:paraId="60B7D204" w14:textId="77777777" w:rsidR="00221F9E" w:rsidRDefault="00221F9E"/>
    <w:sectPr w:rsidR="00221F9E" w:rsidSect="001B5AF6">
      <w:pgSz w:w="11910" w:h="16840"/>
      <w:pgMar w:top="284" w:right="1134" w:bottom="567" w:left="816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E9"/>
    <w:rsid w:val="001B5AF6"/>
    <w:rsid w:val="00221F9E"/>
    <w:rsid w:val="00705F7B"/>
    <w:rsid w:val="00AB7F2C"/>
    <w:rsid w:val="00F01035"/>
    <w:rsid w:val="00FA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776A0"/>
  <w15:chartTrackingRefBased/>
  <w15:docId w15:val="{0679D28A-53B9-174C-B42C-D6891740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53E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53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53E9"/>
    <w:rPr>
      <w:b/>
      <w:bCs/>
    </w:rPr>
  </w:style>
  <w:style w:type="paragraph" w:customStyle="1" w:styleId="font-claude-response-body">
    <w:name w:val="font-claude-response-body"/>
    <w:basedOn w:val="Normal"/>
    <w:rsid w:val="00FA53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8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9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9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2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7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7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1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191868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062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mehdi CHLILIKH</dc:creator>
  <cp:keywords/>
  <dc:description/>
  <cp:lastModifiedBy>EL mehdi CHLILIKH</cp:lastModifiedBy>
  <cp:revision>1</cp:revision>
  <dcterms:created xsi:type="dcterms:W3CDTF">2026-04-01T14:14:00Z</dcterms:created>
  <dcterms:modified xsi:type="dcterms:W3CDTF">2026-04-01T14:15:00Z</dcterms:modified>
</cp:coreProperties>
</file>