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r>
        <w:t xml:space="preserve"/>
      </w:r>
    </w:p>
    <w:p>
      <w:pPr>
        <w:spacing w:after="80" w:before="0"/>
        <w:jc w:val="center"/>
      </w:pPr>
      <w:r>
        <w:rPr>
          <w:rFonts w:ascii="Arial" w:cs="Arial" w:eastAsia="Arial" w:hAnsi="Arial"/>
          <w:b/>
          <w:bCs/>
          <w:color w:val="006233"/>
          <w:sz w:val="60"/>
          <w:szCs w:val="60"/>
        </w:rPr>
        <w:t xml:space="preserve">CAHIER DES CHARGES</w:t>
      </w:r>
    </w:p>
    <w:p>
      <w:pPr>
        <w:pBdr>
          <w:bottom w:val="single" w:color="C1121F" w:sz="12" w:space="1"/>
        </w:pBdr>
        <w:spacing w:after="500" w:before="0"/>
        <w:jc w:val="center"/>
      </w:pPr>
      <w:r>
        <w:rPr>
          <w:rFonts w:ascii="Arial" w:cs="Arial" w:eastAsia="Arial" w:hAnsi="Arial"/>
          <w:i/>
          <w:iCs/>
          <w:color w:val="C1121F"/>
          <w:sz w:val="30"/>
          <w:szCs w:val="30"/>
        </w:rPr>
        <w:t xml:space="preserve">Plateforme SaaS de Gestion de Dossiers Juridiques</w:t>
      </w:r>
    </w:p>
    <w:p>
      <w:pPr>
        <w:spacing w:after="0" w:before="5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5DD" w:sz="1"/>
              <w:left w:val="single" w:color="D0D5DD" w:sz="1"/>
              <w:bottom w:val="single" w:color="D0D5DD" w:sz="1"/>
              <w:right w:val="single" w:color="D0D5DD" w:sz="1"/>
            </w:tcBorders>
            <w:shd w:fill="006233" w:val="clear"/>
            <w:tcMar>
              <w:top w:type="dxa" w:w="100"/>
              <w:left w:type="dxa" w:w="150"/>
              <w:bottom w:type="dxa" w:w="100"/>
              <w:right w:type="dxa" w:w="120"/>
            </w:tcMar>
          </w:tcPr>
          <w:p>
            <w:r>
              <w:rPr>
                <w:rFonts w:ascii="Arial" w:cs="Arial" w:eastAsia="Arial" w:hAnsi="Arial"/>
                <w:b/>
                <w:bCs/>
                <w:color w:val="FFFFFF"/>
                <w:sz w:val="20"/>
                <w:szCs w:val="20"/>
              </w:rPr>
              <w:t xml:space="preserve">Nom du projet</w:t>
            </w:r>
          </w:p>
        </w:tc>
        <w:tc>
          <w:tcPr>
            <w:tcW w:type="dxa" w:w="6226"/>
            <w:tcBorders>
              <w:top w:val="single" w:color="D0D5DD" w:sz="1"/>
              <w:left w:val="single" w:color="D0D5DD" w:sz="1"/>
              <w:bottom w:val="single" w:color="D0D5DD" w:sz="1"/>
              <w:right w:val="single" w:color="D0D5DD" w:sz="1"/>
            </w:tcBorders>
            <w:shd w:fill="F4F6F4" w:val="clear"/>
            <w:tcMar>
              <w:top w:type="dxa" w:w="100"/>
              <w:left w:type="dxa" w:w="150"/>
              <w:bottom w:type="dxa" w:w="100"/>
              <w:right w:type="dxa" w:w="120"/>
            </w:tcMar>
          </w:tcPr>
          <w:p>
            <w:r>
              <w:rPr>
                <w:rFonts w:ascii="Arial" w:cs="Arial" w:eastAsia="Arial" w:hAnsi="Arial"/>
                <w:color w:val="1A1A1A"/>
                <w:sz w:val="20"/>
                <w:szCs w:val="20"/>
              </w:rPr>
              <w:t xml:space="preserve">MiZan — Gestion de dossiers juridiques en ligne</w:t>
            </w:r>
          </w:p>
        </w:tc>
      </w:tr>
      <w:tr>
        <w:tc>
          <w:tcPr>
            <w:tcW w:type="dxa" w:w="2800"/>
            <w:tcBorders>
              <w:top w:val="single" w:color="D0D5DD" w:sz="1"/>
              <w:left w:val="single" w:color="D0D5DD" w:sz="1"/>
              <w:bottom w:val="single" w:color="D0D5DD" w:sz="1"/>
              <w:right w:val="single" w:color="D0D5DD" w:sz="1"/>
            </w:tcBorders>
            <w:shd w:fill="005820" w:val="clear"/>
            <w:tcMar>
              <w:top w:type="dxa" w:w="100"/>
              <w:left w:type="dxa" w:w="150"/>
              <w:bottom w:type="dxa" w:w="100"/>
              <w:right w:type="dxa" w:w="120"/>
            </w:tcMar>
          </w:tcPr>
          <w:p>
            <w:r>
              <w:rPr>
                <w:rFonts w:ascii="Arial" w:cs="Arial" w:eastAsia="Arial" w:hAnsi="Arial"/>
                <w:b/>
                <w:bCs/>
                <w:color w:val="FFFFFF"/>
                <w:sz w:val="20"/>
                <w:szCs w:val="20"/>
              </w:rPr>
              <w:t xml:space="preserve">Porteur du projet</w:t>
            </w:r>
          </w:p>
        </w:tc>
        <w:tc>
          <w:tcPr>
            <w:tcW w:type="dxa" w:w="6226"/>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20"/>
            </w:tcMar>
          </w:tcPr>
          <w:p>
            <w:r>
              <w:rPr>
                <w:rFonts w:ascii="Arial" w:cs="Arial" w:eastAsia="Arial" w:hAnsi="Arial"/>
                <w:color w:val="1A1A1A"/>
                <w:sz w:val="20"/>
                <w:szCs w:val="20"/>
              </w:rPr>
              <w:t xml:space="preserve">Ingenieur en Systeme d'Information</w:t>
            </w:r>
          </w:p>
        </w:tc>
      </w:tr>
      <w:tr>
        <w:tc>
          <w:tcPr>
            <w:tcW w:type="dxa" w:w="2800"/>
            <w:tcBorders>
              <w:top w:val="single" w:color="D0D5DD" w:sz="1"/>
              <w:left w:val="single" w:color="D0D5DD" w:sz="1"/>
              <w:bottom w:val="single" w:color="D0D5DD" w:sz="1"/>
              <w:right w:val="single" w:color="D0D5DD" w:sz="1"/>
            </w:tcBorders>
            <w:shd w:fill="006233" w:val="clear"/>
            <w:tcMar>
              <w:top w:type="dxa" w:w="100"/>
              <w:left w:type="dxa" w:w="150"/>
              <w:bottom w:type="dxa" w:w="100"/>
              <w:right w:type="dxa" w:w="120"/>
            </w:tcMar>
          </w:tcPr>
          <w:p>
            <w:r>
              <w:rPr>
                <w:rFonts w:ascii="Arial" w:cs="Arial" w:eastAsia="Arial" w:hAnsi="Arial"/>
                <w:b/>
                <w:bCs/>
                <w:color w:val="FFFFFF"/>
                <w:sz w:val="20"/>
                <w:szCs w:val="20"/>
              </w:rPr>
              <w:t xml:space="preserve">Marche cible</w:t>
            </w:r>
          </w:p>
        </w:tc>
        <w:tc>
          <w:tcPr>
            <w:tcW w:type="dxa" w:w="6226"/>
            <w:tcBorders>
              <w:top w:val="single" w:color="D0D5DD" w:sz="1"/>
              <w:left w:val="single" w:color="D0D5DD" w:sz="1"/>
              <w:bottom w:val="single" w:color="D0D5DD" w:sz="1"/>
              <w:right w:val="single" w:color="D0D5DD" w:sz="1"/>
            </w:tcBorders>
            <w:shd w:fill="F4F6F4" w:val="clear"/>
            <w:tcMar>
              <w:top w:type="dxa" w:w="100"/>
              <w:left w:type="dxa" w:w="150"/>
              <w:bottom w:type="dxa" w:w="100"/>
              <w:right w:type="dxa" w:w="120"/>
            </w:tcMar>
          </w:tcPr>
          <w:p>
            <w:r>
              <w:rPr>
                <w:rFonts w:ascii="Arial" w:cs="Arial" w:eastAsia="Arial" w:hAnsi="Arial"/>
                <w:color w:val="1A1A1A"/>
                <w:sz w:val="20"/>
                <w:szCs w:val="20"/>
              </w:rPr>
              <w:t xml:space="preserve">Avocats, Notaires, Adoul, Juristes d'entreprise au Maroc</w:t>
            </w:r>
          </w:p>
        </w:tc>
      </w:tr>
      <w:tr>
        <w:tc>
          <w:tcPr>
            <w:tcW w:type="dxa" w:w="2800"/>
            <w:tcBorders>
              <w:top w:val="single" w:color="D0D5DD" w:sz="1"/>
              <w:left w:val="single" w:color="D0D5DD" w:sz="1"/>
              <w:bottom w:val="single" w:color="D0D5DD" w:sz="1"/>
              <w:right w:val="single" w:color="D0D5DD" w:sz="1"/>
            </w:tcBorders>
            <w:shd w:fill="005820" w:val="clear"/>
            <w:tcMar>
              <w:top w:type="dxa" w:w="100"/>
              <w:left w:type="dxa" w:w="150"/>
              <w:bottom w:type="dxa" w:w="100"/>
              <w:right w:type="dxa" w:w="120"/>
            </w:tcMar>
          </w:tcPr>
          <w:p>
            <w:r>
              <w:rPr>
                <w:rFonts w:ascii="Arial" w:cs="Arial" w:eastAsia="Arial" w:hAnsi="Arial"/>
                <w:b/>
                <w:bCs/>
                <w:color w:val="FFFFFF"/>
                <w:sz w:val="20"/>
                <w:szCs w:val="20"/>
              </w:rPr>
              <w:t xml:space="preserve">Type de produit</w:t>
            </w:r>
          </w:p>
        </w:tc>
        <w:tc>
          <w:tcPr>
            <w:tcW w:type="dxa" w:w="6226"/>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20"/>
            </w:tcMar>
          </w:tcPr>
          <w:p>
            <w:r>
              <w:rPr>
                <w:rFonts w:ascii="Arial" w:cs="Arial" w:eastAsia="Arial" w:hAnsi="Arial"/>
                <w:color w:val="1A1A1A"/>
                <w:sz w:val="20"/>
                <w:szCs w:val="20"/>
              </w:rPr>
              <w:t xml:space="preserve">Application SaaS multi-tenant — abonnement mensuel en MAD</w:t>
            </w:r>
          </w:p>
        </w:tc>
      </w:tr>
      <w:tr>
        <w:tc>
          <w:tcPr>
            <w:tcW w:type="dxa" w:w="2800"/>
            <w:tcBorders>
              <w:top w:val="single" w:color="D0D5DD" w:sz="1"/>
              <w:left w:val="single" w:color="D0D5DD" w:sz="1"/>
              <w:bottom w:val="single" w:color="D0D5DD" w:sz="1"/>
              <w:right w:val="single" w:color="D0D5DD" w:sz="1"/>
            </w:tcBorders>
            <w:shd w:fill="006233" w:val="clear"/>
            <w:tcMar>
              <w:top w:type="dxa" w:w="100"/>
              <w:left w:type="dxa" w:w="150"/>
              <w:bottom w:type="dxa" w:w="100"/>
              <w:right w:type="dxa" w:w="120"/>
            </w:tcMar>
          </w:tcPr>
          <w:p>
            <w:r>
              <w:rPr>
                <w:rFonts w:ascii="Arial" w:cs="Arial" w:eastAsia="Arial" w:hAnsi="Arial"/>
                <w:b/>
                <w:bCs/>
                <w:color w:val="FFFFFF"/>
                <w:sz w:val="20"/>
                <w:szCs w:val="20"/>
              </w:rPr>
              <w:t xml:space="preserve">Langue interface</w:t>
            </w:r>
          </w:p>
        </w:tc>
        <w:tc>
          <w:tcPr>
            <w:tcW w:type="dxa" w:w="6226"/>
            <w:tcBorders>
              <w:top w:val="single" w:color="D0D5DD" w:sz="1"/>
              <w:left w:val="single" w:color="D0D5DD" w:sz="1"/>
              <w:bottom w:val="single" w:color="D0D5DD" w:sz="1"/>
              <w:right w:val="single" w:color="D0D5DD" w:sz="1"/>
            </w:tcBorders>
            <w:shd w:fill="F4F6F4" w:val="clear"/>
            <w:tcMar>
              <w:top w:type="dxa" w:w="100"/>
              <w:left w:type="dxa" w:w="150"/>
              <w:bottom w:type="dxa" w:w="100"/>
              <w:right w:type="dxa" w:w="120"/>
            </w:tcMar>
          </w:tcPr>
          <w:p>
            <w:r>
              <w:rPr>
                <w:rFonts w:ascii="Arial" w:cs="Arial" w:eastAsia="Arial" w:hAnsi="Arial"/>
                <w:color w:val="1A1A1A"/>
                <w:sz w:val="20"/>
                <w:szCs w:val="20"/>
              </w:rPr>
              <w:t xml:space="preserve">Arabe (principale) + Francais + Amazigh (optionnel)</w:t>
            </w:r>
          </w:p>
        </w:tc>
      </w:tr>
      <w:tr>
        <w:tc>
          <w:tcPr>
            <w:tcW w:type="dxa" w:w="2800"/>
            <w:tcBorders>
              <w:top w:val="single" w:color="D0D5DD" w:sz="1"/>
              <w:left w:val="single" w:color="D0D5DD" w:sz="1"/>
              <w:bottom w:val="single" w:color="D0D5DD" w:sz="1"/>
              <w:right w:val="single" w:color="D0D5DD" w:sz="1"/>
            </w:tcBorders>
            <w:shd w:fill="005820" w:val="clear"/>
            <w:tcMar>
              <w:top w:type="dxa" w:w="100"/>
              <w:left w:type="dxa" w:w="150"/>
              <w:bottom w:type="dxa" w:w="100"/>
              <w:right w:type="dxa" w:w="120"/>
            </w:tcMar>
          </w:tcPr>
          <w:p>
            <w:r>
              <w:rPr>
                <w:rFonts w:ascii="Arial" w:cs="Arial" w:eastAsia="Arial" w:hAnsi="Arial"/>
                <w:b/>
                <w:bCs/>
                <w:color w:val="FFFFFF"/>
                <w:sz w:val="20"/>
                <w:szCs w:val="20"/>
              </w:rPr>
              <w:t xml:space="preserve">Cadre legal</w:t>
            </w:r>
          </w:p>
        </w:tc>
        <w:tc>
          <w:tcPr>
            <w:tcW w:type="dxa" w:w="6226"/>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20"/>
            </w:tcMar>
          </w:tcPr>
          <w:p>
            <w:r>
              <w:rPr>
                <w:rFonts w:ascii="Arial" w:cs="Arial" w:eastAsia="Arial" w:hAnsi="Arial"/>
                <w:color w:val="1A1A1A"/>
                <w:sz w:val="20"/>
                <w:szCs w:val="20"/>
              </w:rPr>
              <w:t xml:space="preserve">Loi 09-08 protection donnees, Code de procedure civile marocain</w:t>
            </w:r>
          </w:p>
        </w:tc>
      </w:tr>
      <w:tr>
        <w:tc>
          <w:tcPr>
            <w:tcW w:type="dxa" w:w="2800"/>
            <w:tcBorders>
              <w:top w:val="single" w:color="D0D5DD" w:sz="1"/>
              <w:left w:val="single" w:color="D0D5DD" w:sz="1"/>
              <w:bottom w:val="single" w:color="D0D5DD" w:sz="1"/>
              <w:right w:val="single" w:color="D0D5DD" w:sz="1"/>
            </w:tcBorders>
            <w:shd w:fill="006233" w:val="clear"/>
            <w:tcMar>
              <w:top w:type="dxa" w:w="100"/>
              <w:left w:type="dxa" w:w="150"/>
              <w:bottom w:type="dxa" w:w="100"/>
              <w:right w:type="dxa" w:w="120"/>
            </w:tcMar>
          </w:tcPr>
          <w:p>
            <w:r>
              <w:rPr>
                <w:rFonts w:ascii="Arial" w:cs="Arial" w:eastAsia="Arial" w:hAnsi="Arial"/>
                <w:b/>
                <w:bCs/>
                <w:color w:val="FFFFFF"/>
                <w:sz w:val="20"/>
                <w:szCs w:val="20"/>
              </w:rPr>
              <w:t xml:space="preserve">Version document</w:t>
            </w:r>
          </w:p>
        </w:tc>
        <w:tc>
          <w:tcPr>
            <w:tcW w:type="dxa" w:w="6226"/>
            <w:tcBorders>
              <w:top w:val="single" w:color="D0D5DD" w:sz="1"/>
              <w:left w:val="single" w:color="D0D5DD" w:sz="1"/>
              <w:bottom w:val="single" w:color="D0D5DD" w:sz="1"/>
              <w:right w:val="single" w:color="D0D5DD" w:sz="1"/>
            </w:tcBorders>
            <w:shd w:fill="F4F6F4" w:val="clear"/>
            <w:tcMar>
              <w:top w:type="dxa" w:w="100"/>
              <w:left w:type="dxa" w:w="150"/>
              <w:bottom w:type="dxa" w:w="100"/>
              <w:right w:type="dxa" w:w="120"/>
            </w:tcMar>
          </w:tcPr>
          <w:p>
            <w:r>
              <w:rPr>
                <w:rFonts w:ascii="Arial" w:cs="Arial" w:eastAsia="Arial" w:hAnsi="Arial"/>
                <w:color w:val="1A1A1A"/>
                <w:sz w:val="20"/>
                <w:szCs w:val="20"/>
              </w:rPr>
              <w:t xml:space="preserve">v1.0 — Cahier des charges initial</w:t>
            </w:r>
          </w:p>
        </w:tc>
      </w:tr>
      <w:tr>
        <w:tc>
          <w:tcPr>
            <w:tcW w:type="dxa" w:w="2800"/>
            <w:tcBorders>
              <w:top w:val="single" w:color="D0D5DD" w:sz="1"/>
              <w:left w:val="single" w:color="D0D5DD" w:sz="1"/>
              <w:bottom w:val="single" w:color="D0D5DD" w:sz="1"/>
              <w:right w:val="single" w:color="D0D5DD" w:sz="1"/>
            </w:tcBorders>
            <w:shd w:fill="005820" w:val="clear"/>
            <w:tcMar>
              <w:top w:type="dxa" w:w="100"/>
              <w:left w:type="dxa" w:w="150"/>
              <w:bottom w:type="dxa" w:w="100"/>
              <w:right w:type="dxa" w:w="120"/>
            </w:tcMar>
          </w:tcPr>
          <w:p>
            <w:r>
              <w:rPr>
                <w:rFonts w:ascii="Arial" w:cs="Arial" w:eastAsia="Arial" w:hAnsi="Arial"/>
                <w:b/>
                <w:bCs/>
                <w:color w:val="FFFFFF"/>
                <w:sz w:val="20"/>
                <w:szCs w:val="20"/>
              </w:rPr>
              <w:t xml:space="preserve">Date</w:t>
            </w:r>
          </w:p>
        </w:tc>
        <w:tc>
          <w:tcPr>
            <w:tcW w:type="dxa" w:w="6226"/>
            <w:tcBorders>
              <w:top w:val="single" w:color="D0D5DD" w:sz="1"/>
              <w:left w:val="single" w:color="D0D5DD" w:sz="1"/>
              <w:bottom w:val="single" w:color="D0D5DD" w:sz="1"/>
              <w:right w:val="single" w:color="D0D5DD" w:sz="1"/>
            </w:tcBorders>
            <w:shd w:fill="FFFFFF" w:val="clear"/>
            <w:tcMar>
              <w:top w:type="dxa" w:w="100"/>
              <w:left w:type="dxa" w:w="150"/>
              <w:bottom w:type="dxa" w:w="100"/>
              <w:right w:type="dxa" w:w="120"/>
            </w:tcMar>
          </w:tcPr>
          <w:p>
            <w:r>
              <w:rPr>
                <w:rFonts w:ascii="Arial" w:cs="Arial" w:eastAsia="Arial" w:hAnsi="Arial"/>
                <w:color w:val="1A1A1A"/>
                <w:sz w:val="20"/>
                <w:szCs w:val="20"/>
              </w:rPr>
              <w:t xml:space="preserve">31 mars 2026</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01</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Contexte et Objectifs du Projet</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1.1  Contexte du marché juridique marocain</w:t>
      </w:r>
    </w:p>
    <w:p>
      <w:pPr>
        <w:spacing w:after="60" w:before="60"/>
        <w:jc w:val="both"/>
      </w:pPr>
      <w:r>
        <w:rPr>
          <w:rFonts w:ascii="Arial" w:cs="Arial" w:eastAsia="Arial" w:hAnsi="Arial"/>
          <w:color w:val="1A1A1A"/>
          <w:sz w:val="22"/>
          <w:szCs w:val="22"/>
        </w:rPr>
        <w:t xml:space="preserve">Le Maroc compte environ 20 000 avocats inscrits aux différents barreaux du Royaume (Casablanca, Rabat, Marrakech, Fès, Agadir, Tanger, Oujda, Meknès, El Jadida, Settat, Laayoune...). La grande majorité de ces professionnels travaillent encore sans outil numérique adapté : les dossiers sont tenus sur papier ou dans des classeurs, les échanges se font par email non classé ou par WhatsApp, et la facturation est souvent manuelle.</w:t>
      </w:r>
    </w:p>
    <w:p>
      <w:pPr>
        <w:spacing w:after="0" w:before="60"/>
      </w:pPr>
      <w:r>
        <w:t xml:space="preserve"/>
      </w:r>
    </w:p>
    <w:p>
      <w:pPr>
        <w:spacing w:after="60" w:before="60"/>
        <w:jc w:val="both"/>
      </w:pPr>
      <w:r>
        <w:rPr>
          <w:rFonts w:ascii="Arial" w:cs="Arial" w:eastAsia="Arial" w:hAnsi="Arial"/>
          <w:color w:val="1A1A1A"/>
          <w:sz w:val="22"/>
          <w:szCs w:val="22"/>
        </w:rPr>
        <w:t xml:space="preserve">Le Maroc connaît une transformation numérique accélérée (Plan Maroc Digital 2030, e-gouvernement, Portail Juridique National) mais le secteur juridique privé reste très peu digitalisé. C'est une opportunité réelle pour un outil simple, abordable, en arabe, adapté aux spécificités du droit marocain.</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1.2  Problèmes concrets observés</w:t>
      </w:r>
    </w:p>
    <w:p>
      <w:pPr>
        <w:pStyle w:val="ListParagraph"/>
        <w:numPr>
          <w:ilvl w:val="0"/>
          <w:numId w:val="2"/>
        </w:numPr>
        <w:spacing w:after="50" w:before="50"/>
      </w:pPr>
      <w:r>
        <w:rPr>
          <w:rFonts w:ascii="Arial" w:cs="Arial" w:eastAsia="Arial" w:hAnsi="Arial"/>
          <w:color w:val="1A1A1A"/>
          <w:sz w:val="22"/>
          <w:szCs w:val="22"/>
        </w:rPr>
        <w:t xml:space="preserve">Les dossiers sont dispersés : cahiers manuscrits, classeurs papier, emails, WhatsApp, clés USB — aucune vision globale d'une affaire.</w:t>
      </w:r>
    </w:p>
    <w:p>
      <w:pPr>
        <w:pStyle w:val="ListParagraph"/>
        <w:numPr>
          <w:ilvl w:val="0"/>
          <w:numId w:val="2"/>
        </w:numPr>
        <w:spacing w:after="50" w:before="50"/>
      </w:pPr>
      <w:r>
        <w:rPr>
          <w:rFonts w:ascii="Arial" w:cs="Arial" w:eastAsia="Arial" w:hAnsi="Arial"/>
          <w:color w:val="1A1A1A"/>
          <w:sz w:val="22"/>
          <w:szCs w:val="22"/>
        </w:rPr>
        <w:t xml:space="preserve">Pas de traçabilité : impossible de savoir qui a modifié quoi et quand en cas de litige entre associés ou avec un client.</w:t>
      </w:r>
    </w:p>
    <w:p>
      <w:pPr>
        <w:pStyle w:val="ListParagraph"/>
        <w:numPr>
          <w:ilvl w:val="0"/>
          <w:numId w:val="2"/>
        </w:numPr>
        <w:spacing w:after="50" w:before="50"/>
      </w:pPr>
      <w:r>
        <w:rPr>
          <w:rFonts w:ascii="Arial" w:cs="Arial" w:eastAsia="Arial" w:hAnsi="Arial"/>
          <w:color w:val="1A1A1A"/>
          <w:sz w:val="22"/>
          <w:szCs w:val="22"/>
        </w:rPr>
        <w:t xml:space="preserve">Le travail à distance est impossible : les dossiers sont au cabinet, l'avocat ne peut pas travailler depuis le tribunal ou chez lui.</w:t>
      </w:r>
    </w:p>
    <w:p>
      <w:pPr>
        <w:pStyle w:val="ListParagraph"/>
        <w:numPr>
          <w:ilvl w:val="0"/>
          <w:numId w:val="2"/>
        </w:numPr>
        <w:spacing w:after="50" w:before="50"/>
      </w:pPr>
      <w:r>
        <w:rPr>
          <w:rFonts w:ascii="Arial" w:cs="Arial" w:eastAsia="Arial" w:hAnsi="Arial"/>
          <w:color w:val="1A1A1A"/>
          <w:sz w:val="22"/>
          <w:szCs w:val="22"/>
        </w:rPr>
        <w:t xml:space="preserve">La facturation est approximative : pas de suivi du temps passé, les honoraires sont souvent sous-facturés par manque de traçabilité.</w:t>
      </w:r>
    </w:p>
    <w:p>
      <w:pPr>
        <w:pStyle w:val="ListParagraph"/>
        <w:numPr>
          <w:ilvl w:val="0"/>
          <w:numId w:val="2"/>
        </w:numPr>
        <w:spacing w:after="50" w:before="50"/>
      </w:pPr>
      <w:r>
        <w:rPr>
          <w:rFonts w:ascii="Arial" w:cs="Arial" w:eastAsia="Arial" w:hAnsi="Arial"/>
          <w:color w:val="1A1A1A"/>
          <w:sz w:val="22"/>
          <w:szCs w:val="22"/>
        </w:rPr>
        <w:t xml:space="preserve">Les délais de procédure sont mal suivis : les audiences, les délais de recours, les convocations sont notés à la main — risque d'oubli.</w:t>
      </w:r>
    </w:p>
    <w:p>
      <w:pPr>
        <w:pStyle w:val="ListParagraph"/>
        <w:numPr>
          <w:ilvl w:val="0"/>
          <w:numId w:val="2"/>
        </w:numPr>
        <w:spacing w:after="50" w:before="50"/>
      </w:pPr>
      <w:r>
        <w:rPr>
          <w:rFonts w:ascii="Arial" w:cs="Arial" w:eastAsia="Arial" w:hAnsi="Arial"/>
          <w:color w:val="1A1A1A"/>
          <w:sz w:val="22"/>
          <w:szCs w:val="22"/>
        </w:rPr>
        <w:t xml:space="preserve">Les clients demandent de plus en plus à suivre l'avancement de leurs dossiers — les avocats n'ont pas d'outil pour leur répondre facilement.</w:t>
      </w:r>
    </w:p>
    <w:p>
      <w:pPr>
        <w:pStyle w:val="ListParagraph"/>
        <w:numPr>
          <w:ilvl w:val="0"/>
          <w:numId w:val="2"/>
        </w:numPr>
        <w:spacing w:after="50" w:before="50"/>
      </w:pPr>
      <w:r>
        <w:rPr>
          <w:rFonts w:ascii="Arial" w:cs="Arial" w:eastAsia="Arial" w:hAnsi="Arial"/>
          <w:color w:val="1A1A1A"/>
          <w:sz w:val="22"/>
          <w:szCs w:val="22"/>
        </w:rPr>
        <w:t xml:space="preserve">La gestion de cabinet (comptabilité, charges, personnel) est séparée des dossiers — perte de temps et risque d'erreur.</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1.3  Objectifs du projet</w:t>
      </w:r>
    </w:p>
    <w:p>
      <w:pPr>
        <w:pStyle w:val="ListParagraph"/>
        <w:numPr>
          <w:ilvl w:val="0"/>
          <w:numId w:val="3"/>
        </w:numPr>
        <w:spacing w:after="50" w:before="50"/>
      </w:pPr>
      <w:r>
        <w:rPr>
          <w:rFonts w:ascii="Arial" w:cs="Arial" w:eastAsia="Arial" w:hAnsi="Arial"/>
          <w:color w:val="1A1A1A"/>
          <w:sz w:val="22"/>
          <w:szCs w:val="22"/>
        </w:rPr>
        <w:t xml:space="preserve">Créer une application web accessible depuis n'importe quel navigateur (PC, tablette, smartphone) sans installation.</w:t>
      </w:r>
    </w:p>
    <w:p>
      <w:pPr>
        <w:pStyle w:val="ListParagraph"/>
        <w:numPr>
          <w:ilvl w:val="0"/>
          <w:numId w:val="3"/>
        </w:numPr>
        <w:spacing w:after="50" w:before="50"/>
      </w:pPr>
      <w:r>
        <w:rPr>
          <w:rFonts w:ascii="Arial" w:cs="Arial" w:eastAsia="Arial" w:hAnsi="Arial"/>
          <w:color w:val="1A1A1A"/>
          <w:sz w:val="22"/>
          <w:szCs w:val="22"/>
        </w:rPr>
        <w:t xml:space="preserve">Proposer une interface en arabe avec support complet RTL (écriture droite à gauche) et en français.</w:t>
      </w:r>
    </w:p>
    <w:p>
      <w:pPr>
        <w:pStyle w:val="ListParagraph"/>
        <w:numPr>
          <w:ilvl w:val="0"/>
          <w:numId w:val="3"/>
        </w:numPr>
        <w:spacing w:after="50" w:before="50"/>
      </w:pPr>
      <w:r>
        <w:rPr>
          <w:rFonts w:ascii="Arial" w:cs="Arial" w:eastAsia="Arial" w:hAnsi="Arial"/>
          <w:color w:val="1A1A1A"/>
          <w:sz w:val="22"/>
          <w:szCs w:val="22"/>
        </w:rPr>
        <w:t xml:space="preserve">Adapter les fonctionnalités au droit marocain : procédure civile, pénale, commerciale, administrative, statut personnel.</w:t>
      </w:r>
    </w:p>
    <w:p>
      <w:pPr>
        <w:pStyle w:val="ListParagraph"/>
        <w:numPr>
          <w:ilvl w:val="0"/>
          <w:numId w:val="3"/>
        </w:numPr>
        <w:spacing w:after="50" w:before="50"/>
      </w:pPr>
      <w:r>
        <w:rPr>
          <w:rFonts w:ascii="Arial" w:cs="Arial" w:eastAsia="Arial" w:hAnsi="Arial"/>
          <w:color w:val="1A1A1A"/>
          <w:sz w:val="22"/>
          <w:szCs w:val="22"/>
        </w:rPr>
        <w:t xml:space="preserve">Rendre le produit abordable pour les petits cabinets marocains — tarif en dirhams (MAD), paiement local possible.</w:t>
      </w:r>
    </w:p>
    <w:p>
      <w:pPr>
        <w:pStyle w:val="ListParagraph"/>
        <w:numPr>
          <w:ilvl w:val="0"/>
          <w:numId w:val="3"/>
        </w:numPr>
        <w:spacing w:after="50" w:before="50"/>
      </w:pPr>
      <w:r>
        <w:rPr>
          <w:rFonts w:ascii="Arial" w:cs="Arial" w:eastAsia="Arial" w:hAnsi="Arial"/>
          <w:color w:val="1A1A1A"/>
          <w:sz w:val="22"/>
          <w:szCs w:val="22"/>
        </w:rPr>
        <w:t xml:space="preserve">Respecter la loi marocaine 09-08 relative à la protection des données personnelles.</w:t>
      </w:r>
    </w:p>
    <w:p>
      <w:pPr>
        <w:pStyle w:val="ListParagraph"/>
        <w:numPr>
          <w:ilvl w:val="0"/>
          <w:numId w:val="3"/>
        </w:numPr>
        <w:spacing w:after="50" w:before="50"/>
      </w:pPr>
      <w:r>
        <w:rPr>
          <w:rFonts w:ascii="Arial" w:cs="Arial" w:eastAsia="Arial" w:hAnsi="Arial"/>
          <w:color w:val="1A1A1A"/>
          <w:sz w:val="22"/>
          <w:szCs w:val="22"/>
        </w:rPr>
        <w:t xml:space="preserve">Héberger les données au Maroc (datacenter Maroc Telecom, Inwi ou GITEX) pour la souveraineté des données.</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1.4  Ce que le projet ne fait PAS en version 1</w:t>
      </w:r>
    </w:p>
    <w:p>
      <w:pPr>
        <w:pStyle w:val="ListParagraph"/>
        <w:numPr>
          <w:ilvl w:val="0"/>
          <w:numId w:val="2"/>
        </w:numPr>
        <w:spacing w:after="50" w:before="50"/>
      </w:pPr>
      <w:r>
        <w:rPr>
          <w:rFonts w:ascii="Arial" w:cs="Arial" w:eastAsia="Arial" w:hAnsi="Arial"/>
          <w:color w:val="1A1A1A"/>
          <w:sz w:val="22"/>
          <w:szCs w:val="22"/>
        </w:rPr>
        <w:t xml:space="preserve">Il ne remplace pas un logiciel de comptabilité complet — uniquement le suivi des honoraires et des paiements clients.</w:t>
      </w:r>
    </w:p>
    <w:p>
      <w:pPr>
        <w:pStyle w:val="ListParagraph"/>
        <w:numPr>
          <w:ilvl w:val="0"/>
          <w:numId w:val="2"/>
        </w:numPr>
        <w:spacing w:after="50" w:before="50"/>
      </w:pPr>
      <w:r>
        <w:rPr>
          <w:rFonts w:ascii="Arial" w:cs="Arial" w:eastAsia="Arial" w:hAnsi="Arial"/>
          <w:color w:val="1A1A1A"/>
          <w:sz w:val="22"/>
          <w:szCs w:val="22"/>
        </w:rPr>
        <w:t xml:space="preserve">Il ne gère pas les procédures devant les juridictions administratives de manière automatisée (pas de connexion au TGI ou à la Cour d'Appel — pas d'API officielle disponible pour l'instant).</w:t>
      </w:r>
    </w:p>
    <w:p>
      <w:pPr>
        <w:pStyle w:val="ListParagraph"/>
        <w:numPr>
          <w:ilvl w:val="0"/>
          <w:numId w:val="2"/>
        </w:numPr>
        <w:spacing w:after="50" w:before="50"/>
      </w:pPr>
      <w:r>
        <w:rPr>
          <w:rFonts w:ascii="Arial" w:cs="Arial" w:eastAsia="Arial" w:hAnsi="Arial"/>
          <w:color w:val="1A1A1A"/>
          <w:sz w:val="22"/>
          <w:szCs w:val="22"/>
        </w:rPr>
        <w:t xml:space="preserve">Pas d'application mobile native iOS/Android en version 1 — le site web sera optimisé pour mobile (responsive).</w:t>
      </w:r>
    </w:p>
    <w:p>
      <w:pPr>
        <w:pStyle w:val="ListParagraph"/>
        <w:numPr>
          <w:ilvl w:val="0"/>
          <w:numId w:val="2"/>
        </w:numPr>
        <w:spacing w:after="50" w:before="50"/>
      </w:pPr>
      <w:r>
        <w:rPr>
          <w:rFonts w:ascii="Arial" w:cs="Arial" w:eastAsia="Arial" w:hAnsi="Arial"/>
          <w:color w:val="1A1A1A"/>
          <w:sz w:val="22"/>
          <w:szCs w:val="22"/>
        </w:rPr>
        <w:t xml:space="preserve">Pas d'intelligence artificielle complexe en version 1 — la recherche est textuelle, pas sémantique.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02</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Utilisateurs Cibles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2.1  Profils d'utilisateurs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926"/>
        <w:gridCol w:w="1800"/>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c>
          <w:tcPr>
            <w:tcW w:type="dxa" w:w="23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dans le cabinet</w:t>
            </w:r>
          </w:p>
        </w:tc>
        <w:tc>
          <w:tcPr>
            <w:tcW w:type="dxa" w:w="29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Besoins principaux</w:t>
            </w:r>
          </w:p>
        </w:tc>
        <w:tc>
          <w:tcPr>
            <w:tcW w:type="dxa" w:w="18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 numerique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Avocat / Associe principal</w:t>
            </w:r>
          </w:p>
        </w:tc>
        <w:tc>
          <w:tcPr>
            <w:tcW w:type="dxa" w:w="2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Responsable des dossiers et du cabinet</w:t>
            </w:r>
          </w:p>
        </w:tc>
        <w:tc>
          <w:tcPr>
            <w:tcW w:type="dxa" w:w="29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Voir tous les dossiers, valider, signer, suivre la facturation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Moyen — utilise WhatsApp et email</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Avocat collaborateur</w:t>
            </w:r>
          </w:p>
        </w:tc>
        <w:tc>
          <w:tcPr>
            <w:tcW w:type="dxa" w:w="23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Travaille sur les dossiers attribues</w:t>
            </w:r>
          </w:p>
        </w:tc>
        <w:tc>
          <w:tcPr>
            <w:tcW w:type="dxa" w:w="29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Creer des actes, deposer des documents, noter les audiences</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Moyen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Stagiaire / Moulouj</w:t>
            </w:r>
          </w:p>
        </w:tc>
        <w:tc>
          <w:tcPr>
            <w:tcW w:type="dxa" w:w="2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Assiste les avocats</w:t>
            </w:r>
          </w:p>
        </w:tc>
        <w:tc>
          <w:tcPr>
            <w:tcW w:type="dxa" w:w="29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 limite, saisie de documents, recherche dans les dossiers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 — jeune generation</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Secretaire juridique</w:t>
            </w:r>
          </w:p>
        </w:tc>
        <w:tc>
          <w:tcPr>
            <w:tcW w:type="dxa" w:w="23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Administration et agenda du cabinet</w:t>
            </w:r>
          </w:p>
        </w:tc>
        <w:tc>
          <w:tcPr>
            <w:tcW w:type="dxa" w:w="29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Agenda, facturation, gestion des clients, classement</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Faible a moyen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du cabinet</w:t>
            </w:r>
          </w:p>
        </w:tc>
        <w:tc>
          <w:tcPr>
            <w:tcW w:type="dxa" w:w="2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 a ses dossiers uniquement</w:t>
            </w:r>
          </w:p>
        </w:tc>
        <w:tc>
          <w:tcPr>
            <w:tcW w:type="dxa" w:w="29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Consulter ses documents, suivre l'avancement, payer les honoraires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 — portail tres simple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Administrateur SaaS</w:t>
            </w:r>
          </w:p>
        </w:tc>
        <w:tc>
          <w:tcPr>
            <w:tcW w:type="dxa" w:w="23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Gere la plateforme</w:t>
            </w:r>
          </w:p>
        </w:tc>
        <w:tc>
          <w:tcPr>
            <w:tcW w:type="dxa" w:w="29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Creer/supprimer des cabinets, gerer les abonnements, support</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Technique</w:t>
            </w:r>
          </w:p>
        </w:tc>
      </w:tr>
    </w:tbl>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2.2  Marché cible au Maroc</w:t>
      </w:r>
    </w:p>
    <w:p>
      <w:pPr>
        <w:spacing w:after="60" w:before="60"/>
        <w:jc w:val="both"/>
      </w:pPr>
      <w:r>
        <w:rPr>
          <w:rFonts w:ascii="Arial" w:cs="Arial" w:eastAsia="Arial" w:hAnsi="Arial"/>
          <w:color w:val="1A1A1A"/>
          <w:sz w:val="22"/>
          <w:szCs w:val="22"/>
        </w:rPr>
        <w:t xml:space="preserve">Le produit cible en priorité les cabinets de petite et moyenne taille — le segment le plus nombreux et le moins équipé :</w:t>
      </w:r>
    </w:p>
    <w:p>
      <w:pPr>
        <w:pStyle w:val="ListParagraph"/>
        <w:numPr>
          <w:ilvl w:val="0"/>
          <w:numId w:val="2"/>
        </w:numPr>
        <w:spacing w:after="50" w:before="50"/>
      </w:pPr>
      <w:r>
        <w:rPr>
          <w:rFonts w:ascii="Arial" w:cs="Arial" w:eastAsia="Arial" w:hAnsi="Arial"/>
          <w:color w:val="1A1A1A"/>
          <w:sz w:val="22"/>
          <w:szCs w:val="22"/>
        </w:rPr>
        <w:t xml:space="preserve">Avocats indépendants (un seul avocat) : environ 8 000 au Maroc — besoin d'un outil simple et pas cher</w:t>
      </w:r>
    </w:p>
    <w:p>
      <w:pPr>
        <w:pStyle w:val="ListParagraph"/>
        <w:numPr>
          <w:ilvl w:val="0"/>
          <w:numId w:val="2"/>
        </w:numPr>
        <w:spacing w:after="50" w:before="50"/>
      </w:pPr>
      <w:r>
        <w:rPr>
          <w:rFonts w:ascii="Arial" w:cs="Arial" w:eastAsia="Arial" w:hAnsi="Arial"/>
          <w:color w:val="1A1A1A"/>
          <w:sz w:val="22"/>
          <w:szCs w:val="22"/>
        </w:rPr>
        <w:t xml:space="preserve">Petits cabinets (2 à 10 avocats) : environ 3 000 cabinets — besoin de collaboration et de partage de dossiers</w:t>
      </w:r>
    </w:p>
    <w:p>
      <w:pPr>
        <w:pStyle w:val="ListParagraph"/>
        <w:numPr>
          <w:ilvl w:val="0"/>
          <w:numId w:val="2"/>
        </w:numPr>
        <w:spacing w:after="50" w:before="50"/>
      </w:pPr>
      <w:r>
        <w:rPr>
          <w:rFonts w:ascii="Arial" w:cs="Arial" w:eastAsia="Arial" w:hAnsi="Arial"/>
          <w:color w:val="1A1A1A"/>
          <w:sz w:val="22"/>
          <w:szCs w:val="22"/>
        </w:rPr>
        <w:t xml:space="preserve">Cabinets moyens (10 à 30 avocats) : environ 500 cabinets à Casablanca, Rabat, Marrakech — besoin de gestion avancée</w:t>
      </w:r>
    </w:p>
    <w:p>
      <w:pPr>
        <w:pStyle w:val="ListParagraph"/>
        <w:numPr>
          <w:ilvl w:val="0"/>
          <w:numId w:val="2"/>
        </w:numPr>
        <w:spacing w:after="50" w:before="50"/>
      </w:pPr>
      <w:r>
        <w:rPr>
          <w:rFonts w:ascii="Arial" w:cs="Arial" w:eastAsia="Arial" w:hAnsi="Arial"/>
          <w:color w:val="1A1A1A"/>
          <w:sz w:val="22"/>
          <w:szCs w:val="22"/>
        </w:rPr>
        <w:t xml:space="preserve">Notaires et adoul : marché secondaire, fonctionnalités spécifiques à prévoir en version 2</w:t>
      </w:r>
    </w:p>
    <w:p>
      <w:pPr>
        <w:pStyle w:val="ListParagraph"/>
        <w:numPr>
          <w:ilvl w:val="0"/>
          <w:numId w:val="2"/>
        </w:numPr>
        <w:spacing w:after="50" w:before="50"/>
      </w:pPr>
      <w:r>
        <w:rPr>
          <w:rFonts w:ascii="Arial" w:cs="Arial" w:eastAsia="Arial" w:hAnsi="Arial"/>
          <w:color w:val="1A1A1A"/>
          <w:sz w:val="22"/>
          <w:szCs w:val="22"/>
        </w:rPr>
        <w:t xml:space="preserve">Directions juridiques d'entreprises marocaines (Legal Departments) : marché tertiaire, version Enterprise</w:t>
      </w:r>
    </w:p>
    <w:p>
      <w:pPr>
        <w:spacing w:after="0" w:before="60"/>
      </w:pPr>
      <w:r>
        <w:t xml:space="preserve"/>
      </w:r>
    </w:p>
    <w:p>
      <w:pPr>
        <w:spacing w:after="40" w:before="40"/>
      </w:pPr>
      <w:r>
        <w:rPr>
          <w:rFonts w:ascii="Arial" w:cs="Arial" w:eastAsia="Arial" w:hAnsi="Arial"/>
          <w:i/>
          <w:iCs/>
          <w:color w:val="4A5568"/>
          <w:sz w:val="20"/>
          <w:szCs w:val="20"/>
        </w:rPr>
        <w:t xml:space="preserve">Cible réaliste à 24 mois : 300 à 500 cabinets, soit environ 1 000 à 2 500 utilisateurs actifs. Le prix bas et la langue arabe sont les deux principaux leviers d'adoption.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03</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Fonctionnalités Détaillées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3.1  Gestion des dossiers — Module central</w:t>
      </w:r>
    </w:p>
    <w:p>
      <w:pPr>
        <w:spacing w:after="60" w:before="60"/>
        <w:jc w:val="both"/>
      </w:pPr>
      <w:r>
        <w:rPr>
          <w:rFonts w:ascii="Arial" w:cs="Arial" w:eastAsia="Arial" w:hAnsi="Arial"/>
          <w:color w:val="1A1A1A"/>
          <w:sz w:val="22"/>
          <w:szCs w:val="22"/>
        </w:rPr>
        <w:t xml:space="preserve">Chaque dossier correspond à une affaire juridique. Il regroupe toutes les informations, documents, tâches et échanges liés à cette affaire.</w:t>
      </w:r>
    </w:p>
    <w:p>
      <w:pPr>
        <w:spacing w:after="0" w:before="60"/>
      </w:pPr>
      <w:r>
        <w:t xml:space="preserve"/>
      </w:r>
    </w:p>
    <w:p>
      <w:pPr>
        <w:pStyle w:val="Heading3"/>
        <w:spacing w:after="80" w:before="200"/>
      </w:pPr>
      <w:r>
        <w:rPr>
          <w:rFonts w:ascii="Arial" w:cs="Arial" w:eastAsia="Arial" w:hAnsi="Arial"/>
          <w:b/>
          <w:bCs/>
          <w:color w:val="C1121F"/>
          <w:sz w:val="22"/>
          <w:szCs w:val="22"/>
        </w:rPr>
        <w:t xml:space="preserve">Création et organisation d'un dossier</w:t>
      </w:r>
    </w:p>
    <w:p>
      <w:pPr>
        <w:pStyle w:val="ListParagraph"/>
        <w:numPr>
          <w:ilvl w:val="0"/>
          <w:numId w:val="2"/>
        </w:numPr>
        <w:spacing w:after="50" w:before="50"/>
      </w:pPr>
      <w:r>
        <w:rPr>
          <w:rFonts w:ascii="Arial" w:cs="Arial" w:eastAsia="Arial" w:hAnsi="Arial"/>
          <w:color w:val="1A1A1A"/>
          <w:sz w:val="22"/>
          <w:szCs w:val="22"/>
        </w:rPr>
        <w:t xml:space="preserve">Créer un dossier avec : numéro automatique (ex : 2025/CAS/0042), intitulé, juridiction concernée (TPI, Tribunal de Commerce, Cour d'Appel, Cour Suprême...), type de procédure (civile, pénale, commerciale, statut personnel, administrative).</w:t>
      </w:r>
    </w:p>
    <w:p>
      <w:pPr>
        <w:pStyle w:val="ListParagraph"/>
        <w:numPr>
          <w:ilvl w:val="0"/>
          <w:numId w:val="2"/>
        </w:numPr>
        <w:spacing w:after="50" w:before="50"/>
      </w:pPr>
      <w:r>
        <w:rPr>
          <w:rFonts w:ascii="Arial" w:cs="Arial" w:eastAsia="Arial" w:hAnsi="Arial"/>
          <w:color w:val="1A1A1A"/>
          <w:sz w:val="22"/>
          <w:szCs w:val="22"/>
        </w:rPr>
        <w:t xml:space="preserve">Associer les parties : client (demandeur ou défendeur), partie adverse, avocat adverse, tribunal, juge, expert judiciaire, huissier.</w:t>
      </w:r>
    </w:p>
    <w:p>
      <w:pPr>
        <w:pStyle w:val="ListParagraph"/>
        <w:numPr>
          <w:ilvl w:val="0"/>
          <w:numId w:val="2"/>
        </w:numPr>
        <w:spacing w:after="50" w:before="50"/>
      </w:pPr>
      <w:r>
        <w:rPr>
          <w:rFonts w:ascii="Arial" w:cs="Arial" w:eastAsia="Arial" w:hAnsi="Arial"/>
          <w:color w:val="1A1A1A"/>
          <w:sz w:val="22"/>
          <w:szCs w:val="22"/>
        </w:rPr>
        <w:t xml:space="preserve">Statuts configurables : Nouveau, En cours d'instruction, En attente d'audience, Jugement rendu, En appel, Clôturé, Archivé.</w:t>
      </w:r>
    </w:p>
    <w:p>
      <w:pPr>
        <w:pStyle w:val="ListParagraph"/>
        <w:numPr>
          <w:ilvl w:val="0"/>
          <w:numId w:val="2"/>
        </w:numPr>
        <w:spacing w:after="50" w:before="50"/>
      </w:pPr>
      <w:r>
        <w:rPr>
          <w:rFonts w:ascii="Arial" w:cs="Arial" w:eastAsia="Arial" w:hAnsi="Arial"/>
          <w:color w:val="1A1A1A"/>
          <w:sz w:val="22"/>
          <w:szCs w:val="22"/>
        </w:rPr>
        <w:t xml:space="preserve">Attribuer le dossier à un ou plusieurs avocats du cabinet avec des droits différents (lecture seule / modification / validation).</w:t>
      </w:r>
    </w:p>
    <w:p>
      <w:pPr>
        <w:pStyle w:val="ListParagraph"/>
        <w:numPr>
          <w:ilvl w:val="0"/>
          <w:numId w:val="2"/>
        </w:numPr>
        <w:spacing w:after="50" w:before="50"/>
      </w:pPr>
      <w:r>
        <w:rPr>
          <w:rFonts w:ascii="Arial" w:cs="Arial" w:eastAsia="Arial" w:hAnsi="Arial"/>
          <w:color w:val="1A1A1A"/>
          <w:sz w:val="22"/>
          <w:szCs w:val="22"/>
        </w:rPr>
        <w:t xml:space="preserve">Historique complet : chaque action sur le dossier est enregistrée automatiquement (qui, quoi, quand).</w:t>
      </w:r>
    </w:p>
    <w:p>
      <w:pPr>
        <w:pStyle w:val="ListParagraph"/>
        <w:numPr>
          <w:ilvl w:val="0"/>
          <w:numId w:val="2"/>
        </w:numPr>
        <w:spacing w:after="50" w:before="50"/>
      </w:pPr>
      <w:r>
        <w:rPr>
          <w:rFonts w:ascii="Arial" w:cs="Arial" w:eastAsia="Arial" w:hAnsi="Arial"/>
          <w:color w:val="1A1A1A"/>
          <w:sz w:val="22"/>
          <w:szCs w:val="22"/>
        </w:rPr>
        <w:t xml:space="preserve">Rechercher un dossier par numéro, nom du client, partie adverse, juridiction, type de procédure ou mot-clé.</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3.2  Gestion des documents</w:t>
      </w:r>
    </w:p>
    <w:p>
      <w:pPr>
        <w:pStyle w:val="ListParagraph"/>
        <w:numPr>
          <w:ilvl w:val="0"/>
          <w:numId w:val="2"/>
        </w:numPr>
        <w:spacing w:after="50" w:before="50"/>
      </w:pPr>
      <w:r>
        <w:rPr>
          <w:rFonts w:ascii="Arial" w:cs="Arial" w:eastAsia="Arial" w:hAnsi="Arial"/>
          <w:color w:val="1A1A1A"/>
          <w:sz w:val="22"/>
          <w:szCs w:val="22"/>
        </w:rPr>
        <w:t xml:space="preserve">Déposer des fichiers dans un dossier : PDF, Word, images, scans — jusqu'à 50 Mo par fichier.</w:t>
      </w:r>
    </w:p>
    <w:p>
      <w:pPr>
        <w:pStyle w:val="ListParagraph"/>
        <w:numPr>
          <w:ilvl w:val="0"/>
          <w:numId w:val="2"/>
        </w:numPr>
        <w:spacing w:after="50" w:before="50"/>
      </w:pPr>
      <w:r>
        <w:rPr>
          <w:rFonts w:ascii="Arial" w:cs="Arial" w:eastAsia="Arial" w:hAnsi="Arial"/>
          <w:color w:val="1A1A1A"/>
          <w:sz w:val="22"/>
          <w:szCs w:val="22"/>
        </w:rPr>
        <w:t xml:space="preserve">Visualiser les PDF directement dans le navigateur — sans télécharger ni ouvrir un autre logiciel.</w:t>
      </w:r>
    </w:p>
    <w:p>
      <w:pPr>
        <w:pStyle w:val="ListParagraph"/>
        <w:numPr>
          <w:ilvl w:val="0"/>
          <w:numId w:val="2"/>
        </w:numPr>
        <w:spacing w:after="50" w:before="50"/>
      </w:pPr>
      <w:r>
        <w:rPr>
          <w:rFonts w:ascii="Arial" w:cs="Arial" w:eastAsia="Arial" w:hAnsi="Arial"/>
          <w:color w:val="1A1A1A"/>
          <w:sz w:val="22"/>
          <w:szCs w:val="22"/>
        </w:rPr>
        <w:t xml:space="preserve">Versioning : si un document est mis à jour, l'ancienne version reste accessible avec sa date.</w:t>
      </w:r>
    </w:p>
    <w:p>
      <w:pPr>
        <w:pStyle w:val="ListParagraph"/>
        <w:numPr>
          <w:ilvl w:val="0"/>
          <w:numId w:val="2"/>
        </w:numPr>
        <w:spacing w:after="50" w:before="50"/>
      </w:pPr>
      <w:r>
        <w:rPr>
          <w:rFonts w:ascii="Arial" w:cs="Arial" w:eastAsia="Arial" w:hAnsi="Arial"/>
          <w:color w:val="1A1A1A"/>
          <w:sz w:val="22"/>
          <w:szCs w:val="22"/>
        </w:rPr>
        <w:t xml:space="preserve">OCR (reconnaissance de texte) : rendre les documents scannés (jugements, contrats manuscrits) recherchables par texte.</w:t>
      </w:r>
    </w:p>
    <w:p>
      <w:pPr>
        <w:pStyle w:val="ListParagraph"/>
        <w:numPr>
          <w:ilvl w:val="0"/>
          <w:numId w:val="2"/>
        </w:numPr>
        <w:spacing w:after="50" w:before="50"/>
      </w:pPr>
      <w:r>
        <w:rPr>
          <w:rFonts w:ascii="Arial" w:cs="Arial" w:eastAsia="Arial" w:hAnsi="Arial"/>
          <w:color w:val="1A1A1A"/>
          <w:sz w:val="22"/>
          <w:szCs w:val="22"/>
        </w:rPr>
        <w:t xml:space="preserve">Catégories de documents adaptées au droit marocain : Requête introductive, Conclusions, Jugement, Arrêt, Procès-verbal, Expertise, Contrat, Correspondance, Notification, Pouvoir.</w:t>
      </w:r>
    </w:p>
    <w:p>
      <w:pPr>
        <w:pStyle w:val="ListParagraph"/>
        <w:numPr>
          <w:ilvl w:val="0"/>
          <w:numId w:val="2"/>
        </w:numPr>
        <w:spacing w:after="50" w:before="50"/>
      </w:pPr>
      <w:r>
        <w:rPr>
          <w:rFonts w:ascii="Arial" w:cs="Arial" w:eastAsia="Arial" w:hAnsi="Arial"/>
          <w:color w:val="1A1A1A"/>
          <w:sz w:val="22"/>
          <w:szCs w:val="22"/>
        </w:rPr>
        <w:t xml:space="preserve">Rechercher dans le contenu textuel de tous les documents d'un dossier.</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3.3  Agenda et gestion des audiences</w:t>
      </w:r>
    </w:p>
    <w:p>
      <w:pPr>
        <w:spacing w:after="60" w:before="60"/>
        <w:jc w:val="both"/>
      </w:pPr>
      <w:r>
        <w:rPr>
          <w:rFonts w:ascii="Arial" w:cs="Arial" w:eastAsia="Arial" w:hAnsi="Arial"/>
          <w:color w:val="1A1A1A"/>
          <w:sz w:val="22"/>
          <w:szCs w:val="22"/>
        </w:rPr>
        <w:t xml:space="preserve">Fonctionnalité critique pour les avocats marocains : ne jamais manquer une audience, un délai de recours ou une convocation.</w:t>
      </w:r>
    </w:p>
    <w:p>
      <w:pPr>
        <w:pStyle w:val="ListParagraph"/>
        <w:numPr>
          <w:ilvl w:val="0"/>
          <w:numId w:val="2"/>
        </w:numPr>
        <w:spacing w:after="50" w:before="50"/>
      </w:pPr>
      <w:r>
        <w:rPr>
          <w:rFonts w:ascii="Arial" w:cs="Arial" w:eastAsia="Arial" w:hAnsi="Arial"/>
          <w:color w:val="1A1A1A"/>
          <w:sz w:val="22"/>
          <w:szCs w:val="22"/>
        </w:rPr>
        <w:t xml:space="preserve">Calendrier par dossier et par cabinet : voir toutes les échéances en un coup d'oeil.</w:t>
      </w:r>
    </w:p>
    <w:p>
      <w:pPr>
        <w:pStyle w:val="ListParagraph"/>
        <w:numPr>
          <w:ilvl w:val="0"/>
          <w:numId w:val="2"/>
        </w:numPr>
        <w:spacing w:after="50" w:before="50"/>
      </w:pPr>
      <w:r>
        <w:rPr>
          <w:rFonts w:ascii="Arial" w:cs="Arial" w:eastAsia="Arial" w:hAnsi="Arial"/>
          <w:color w:val="1A1A1A"/>
          <w:sz w:val="22"/>
          <w:szCs w:val="22"/>
        </w:rPr>
        <w:t xml:space="preserve">Types d'échéances adaptés au droit marocain : Audience de mise en état, Audience de plaidoirie, Délai de dépôt de conclusions, Délai de recours en appel (30 jours), Délai de pourvoi en cassation (30 jours), Notification de jugement, Expertise judiciaire, Réunion d'expertise.</w:t>
      </w:r>
    </w:p>
    <w:p>
      <w:pPr>
        <w:pStyle w:val="ListParagraph"/>
        <w:numPr>
          <w:ilvl w:val="0"/>
          <w:numId w:val="2"/>
        </w:numPr>
        <w:spacing w:after="50" w:before="50"/>
      </w:pPr>
      <w:r>
        <w:rPr>
          <w:rFonts w:ascii="Arial" w:cs="Arial" w:eastAsia="Arial" w:hAnsi="Arial"/>
          <w:color w:val="1A1A1A"/>
          <w:sz w:val="22"/>
          <w:szCs w:val="22"/>
        </w:rPr>
        <w:t xml:space="preserve">Alertes automatiques par email et SMS : 7 jours avant, 2 jours avant, le matin même.</w:t>
      </w:r>
    </w:p>
    <w:p>
      <w:pPr>
        <w:pStyle w:val="ListParagraph"/>
        <w:numPr>
          <w:ilvl w:val="0"/>
          <w:numId w:val="2"/>
        </w:numPr>
        <w:spacing w:after="50" w:before="50"/>
      </w:pPr>
      <w:r>
        <w:rPr>
          <w:rFonts w:ascii="Arial" w:cs="Arial" w:eastAsia="Arial" w:hAnsi="Arial"/>
          <w:color w:val="1A1A1A"/>
          <w:sz w:val="22"/>
          <w:szCs w:val="22"/>
        </w:rPr>
        <w:t xml:space="preserve">Synchronisation avec Google Calendar ou Outlook via un lien iCal standard.</w:t>
      </w:r>
    </w:p>
    <w:p>
      <w:pPr>
        <w:pStyle w:val="ListParagraph"/>
        <w:numPr>
          <w:ilvl w:val="0"/>
          <w:numId w:val="2"/>
        </w:numPr>
        <w:spacing w:after="50" w:before="50"/>
      </w:pPr>
      <w:r>
        <w:rPr>
          <w:rFonts w:ascii="Arial" w:cs="Arial" w:eastAsia="Arial" w:hAnsi="Arial"/>
          <w:color w:val="1A1A1A"/>
          <w:sz w:val="22"/>
          <w:szCs w:val="22"/>
        </w:rPr>
        <w:t xml:space="preserve">Vue hebdomadaire des audiences classées par tribunal et par ville.</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3.4  Suivi des honoraires et facturation</w:t>
      </w:r>
    </w:p>
    <w:p>
      <w:pPr>
        <w:pStyle w:val="ListParagraph"/>
        <w:numPr>
          <w:ilvl w:val="0"/>
          <w:numId w:val="2"/>
        </w:numPr>
        <w:spacing w:after="50" w:before="50"/>
      </w:pPr>
      <w:r>
        <w:rPr>
          <w:rFonts w:ascii="Arial" w:cs="Arial" w:eastAsia="Arial" w:hAnsi="Arial"/>
          <w:color w:val="1A1A1A"/>
          <w:sz w:val="22"/>
          <w:szCs w:val="22"/>
        </w:rPr>
        <w:t xml:space="preserve">Enregistrer le temps passé sur chaque dossier : le collaborateur clique sur Démarrer / Arrêter la minuterie.</w:t>
      </w:r>
    </w:p>
    <w:p>
      <w:pPr>
        <w:pStyle w:val="ListParagraph"/>
        <w:numPr>
          <w:ilvl w:val="0"/>
          <w:numId w:val="2"/>
        </w:numPr>
        <w:spacing w:after="50" w:before="50"/>
      </w:pPr>
      <w:r>
        <w:rPr>
          <w:rFonts w:ascii="Arial" w:cs="Arial" w:eastAsia="Arial" w:hAnsi="Arial"/>
          <w:color w:val="1A1A1A"/>
          <w:sz w:val="22"/>
          <w:szCs w:val="22"/>
        </w:rPr>
        <w:t xml:space="preserve">Paramétrer un tarif horaire par avocat et par type de dossier.</w:t>
      </w:r>
    </w:p>
    <w:p>
      <w:pPr>
        <w:pStyle w:val="ListParagraph"/>
        <w:numPr>
          <w:ilvl w:val="0"/>
          <w:numId w:val="2"/>
        </w:numPr>
        <w:spacing w:after="50" w:before="50"/>
      </w:pPr>
      <w:r>
        <w:rPr>
          <w:rFonts w:ascii="Arial" w:cs="Arial" w:eastAsia="Arial" w:hAnsi="Arial"/>
          <w:color w:val="1A1A1A"/>
          <w:sz w:val="22"/>
          <w:szCs w:val="22"/>
        </w:rPr>
        <w:t xml:space="preserve">Générer une note d'honoraires PDF conforme aux usages du barreau marocain, avec le cachet du cabinet.</w:t>
      </w:r>
    </w:p>
    <w:p>
      <w:pPr>
        <w:pStyle w:val="ListParagraph"/>
        <w:numPr>
          <w:ilvl w:val="0"/>
          <w:numId w:val="2"/>
        </w:numPr>
        <w:spacing w:after="50" w:before="50"/>
      </w:pPr>
      <w:r>
        <w:rPr>
          <w:rFonts w:ascii="Arial" w:cs="Arial" w:eastAsia="Arial" w:hAnsi="Arial"/>
          <w:color w:val="1A1A1A"/>
          <w:sz w:val="22"/>
          <w:szCs w:val="22"/>
        </w:rPr>
        <w:t xml:space="preserve">Suivi des paiements : honoraires convenus, acompte reçu, solde restant, retard de paiement.</w:t>
      </w:r>
    </w:p>
    <w:p>
      <w:pPr>
        <w:pStyle w:val="ListParagraph"/>
        <w:numPr>
          <w:ilvl w:val="0"/>
          <w:numId w:val="2"/>
        </w:numPr>
        <w:spacing w:after="50" w:before="50"/>
      </w:pPr>
      <w:r>
        <w:rPr>
          <w:rFonts w:ascii="Arial" w:cs="Arial" w:eastAsia="Arial" w:hAnsi="Arial"/>
          <w:color w:val="1A1A1A"/>
          <w:sz w:val="22"/>
          <w:szCs w:val="22"/>
        </w:rPr>
        <w:t xml:space="preserve">Reçus de paiement pour les clients — en arabe et en français.</w:t>
      </w:r>
    </w:p>
    <w:p>
      <w:pPr>
        <w:pStyle w:val="ListParagraph"/>
        <w:numPr>
          <w:ilvl w:val="0"/>
          <w:numId w:val="2"/>
        </w:numPr>
        <w:spacing w:after="50" w:before="50"/>
      </w:pPr>
      <w:r>
        <w:rPr>
          <w:rFonts w:ascii="Arial" w:cs="Arial" w:eastAsia="Arial" w:hAnsi="Arial"/>
          <w:color w:val="1A1A1A"/>
          <w:sz w:val="22"/>
          <w:szCs w:val="22"/>
        </w:rPr>
        <w:t xml:space="preserve">Tableau de bord financier : honoraires facturés ce mois, encaissés, en attente, par avocat.</w:t>
      </w:r>
    </w:p>
    <w:p>
      <w:pPr>
        <w:pStyle w:val="ListParagraph"/>
        <w:numPr>
          <w:ilvl w:val="0"/>
          <w:numId w:val="2"/>
        </w:numPr>
        <w:spacing w:after="50" w:before="50"/>
      </w:pPr>
      <w:r>
        <w:rPr>
          <w:rFonts w:ascii="Arial" w:cs="Arial" w:eastAsia="Arial" w:hAnsi="Arial"/>
          <w:color w:val="1A1A1A"/>
          <w:sz w:val="22"/>
          <w:szCs w:val="22"/>
        </w:rPr>
        <w:t xml:space="preserve">Export des données en Excel pour le cabinet comptable externe.</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3.5  Portail client</w:t>
      </w:r>
    </w:p>
    <w:p>
      <w:pPr>
        <w:spacing w:after="60" w:before="60"/>
        <w:jc w:val="both"/>
      </w:pPr>
      <w:r>
        <w:rPr>
          <w:rFonts w:ascii="Arial" w:cs="Arial" w:eastAsia="Arial" w:hAnsi="Arial"/>
          <w:color w:val="1A1A1A"/>
          <w:sz w:val="22"/>
          <w:szCs w:val="22"/>
        </w:rPr>
        <w:t xml:space="preserve">Un espace sécurisé où le client peut suivre son dossier — accessible par lien, sans application à installer.</w:t>
      </w:r>
    </w:p>
    <w:p>
      <w:pPr>
        <w:pStyle w:val="ListParagraph"/>
        <w:numPr>
          <w:ilvl w:val="0"/>
          <w:numId w:val="2"/>
        </w:numPr>
        <w:spacing w:after="50" w:before="50"/>
      </w:pPr>
      <w:r>
        <w:rPr>
          <w:rFonts w:ascii="Arial" w:cs="Arial" w:eastAsia="Arial" w:hAnsi="Arial"/>
          <w:color w:val="1A1A1A"/>
          <w:sz w:val="22"/>
          <w:szCs w:val="22"/>
        </w:rPr>
        <w:t xml:space="preserve">Le client reçoit un lien sécurisé par SMS ou email — il se connecte avec son numéro de téléphone (OTP).</w:t>
      </w:r>
    </w:p>
    <w:p>
      <w:pPr>
        <w:pStyle w:val="ListParagraph"/>
        <w:numPr>
          <w:ilvl w:val="0"/>
          <w:numId w:val="2"/>
        </w:numPr>
        <w:spacing w:after="50" w:before="50"/>
      </w:pPr>
      <w:r>
        <w:rPr>
          <w:rFonts w:ascii="Arial" w:cs="Arial" w:eastAsia="Arial" w:hAnsi="Arial"/>
          <w:color w:val="1A1A1A"/>
          <w:sz w:val="22"/>
          <w:szCs w:val="22"/>
        </w:rPr>
        <w:t xml:space="preserve">Il consulte les documents de son dossier partagés par l'avocat (ordonnances, jugements, contrats...).</w:t>
      </w:r>
    </w:p>
    <w:p>
      <w:pPr>
        <w:pStyle w:val="ListParagraph"/>
        <w:numPr>
          <w:ilvl w:val="0"/>
          <w:numId w:val="2"/>
        </w:numPr>
        <w:spacing w:after="50" w:before="50"/>
      </w:pPr>
      <w:r>
        <w:rPr>
          <w:rFonts w:ascii="Arial" w:cs="Arial" w:eastAsia="Arial" w:hAnsi="Arial"/>
          <w:color w:val="1A1A1A"/>
          <w:sz w:val="22"/>
          <w:szCs w:val="22"/>
        </w:rPr>
        <w:t xml:space="preserve">Il peut envoyer des pièces justificatives directement depuis son téléphone — plus besoin de se déplacer au cabinet.</w:t>
      </w:r>
    </w:p>
    <w:p>
      <w:pPr>
        <w:pStyle w:val="ListParagraph"/>
        <w:numPr>
          <w:ilvl w:val="0"/>
          <w:numId w:val="2"/>
        </w:numPr>
        <w:spacing w:after="50" w:before="50"/>
      </w:pPr>
      <w:r>
        <w:rPr>
          <w:rFonts w:ascii="Arial" w:cs="Arial" w:eastAsia="Arial" w:hAnsi="Arial"/>
          <w:color w:val="1A1A1A"/>
          <w:sz w:val="22"/>
          <w:szCs w:val="22"/>
        </w:rPr>
        <w:t xml:space="preserve">Il voit les prochaines audiences et les deadlines importantes de son dossier.</w:t>
      </w:r>
    </w:p>
    <w:p>
      <w:pPr>
        <w:pStyle w:val="ListParagraph"/>
        <w:numPr>
          <w:ilvl w:val="0"/>
          <w:numId w:val="2"/>
        </w:numPr>
        <w:spacing w:after="50" w:before="50"/>
      </w:pPr>
      <w:r>
        <w:rPr>
          <w:rFonts w:ascii="Arial" w:cs="Arial" w:eastAsia="Arial" w:hAnsi="Arial"/>
          <w:color w:val="1A1A1A"/>
          <w:sz w:val="22"/>
          <w:szCs w:val="22"/>
        </w:rPr>
        <w:t xml:space="preserve">Messagerie sécurisée avec son avocat — remplace les échanges WhatsApp non sécurisés.</w:t>
      </w:r>
    </w:p>
    <w:p>
      <w:pPr>
        <w:pStyle w:val="ListParagraph"/>
        <w:numPr>
          <w:ilvl w:val="0"/>
          <w:numId w:val="2"/>
        </w:numPr>
        <w:spacing w:after="50" w:before="50"/>
      </w:pPr>
      <w:r>
        <w:rPr>
          <w:rFonts w:ascii="Arial" w:cs="Arial" w:eastAsia="Arial" w:hAnsi="Arial"/>
          <w:color w:val="1A1A1A"/>
          <w:sz w:val="22"/>
          <w:szCs w:val="22"/>
        </w:rPr>
        <w:t xml:space="preserve">Interface en arabe par défaut, simple, adaptée à tous niveaux de maîtrise du numérique.</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3.6  Recherche globale</w:t>
      </w:r>
    </w:p>
    <w:p>
      <w:pPr>
        <w:pStyle w:val="ListParagraph"/>
        <w:numPr>
          <w:ilvl w:val="0"/>
          <w:numId w:val="2"/>
        </w:numPr>
        <w:spacing w:after="50" w:before="50"/>
      </w:pPr>
      <w:r>
        <w:rPr>
          <w:rFonts w:ascii="Arial" w:cs="Arial" w:eastAsia="Arial" w:hAnsi="Arial"/>
          <w:color w:val="1A1A1A"/>
          <w:sz w:val="22"/>
          <w:szCs w:val="22"/>
        </w:rPr>
        <w:t xml:space="preserve">Un champ de recherche unique : trouver un dossier, un client, un document, une audience en quelques secondes.</w:t>
      </w:r>
    </w:p>
    <w:p>
      <w:pPr>
        <w:pStyle w:val="ListParagraph"/>
        <w:numPr>
          <w:ilvl w:val="0"/>
          <w:numId w:val="2"/>
        </w:numPr>
        <w:spacing w:after="50" w:before="50"/>
      </w:pPr>
      <w:r>
        <w:rPr>
          <w:rFonts w:ascii="Arial" w:cs="Arial" w:eastAsia="Arial" w:hAnsi="Arial"/>
          <w:color w:val="1A1A1A"/>
          <w:sz w:val="22"/>
          <w:szCs w:val="22"/>
        </w:rPr>
        <w:t xml:space="preserve">Recherche en arabe et en français dans les mêmes résultats.</w:t>
      </w:r>
    </w:p>
    <w:p>
      <w:pPr>
        <w:pStyle w:val="ListParagraph"/>
        <w:numPr>
          <w:ilvl w:val="0"/>
          <w:numId w:val="2"/>
        </w:numPr>
        <w:spacing w:after="50" w:before="50"/>
      </w:pPr>
      <w:r>
        <w:rPr>
          <w:rFonts w:ascii="Arial" w:cs="Arial" w:eastAsia="Arial" w:hAnsi="Arial"/>
          <w:color w:val="1A1A1A"/>
          <w:sz w:val="22"/>
          <w:szCs w:val="22"/>
        </w:rPr>
        <w:t xml:space="preserve">Filtres : par ville / barreau, par type de juridiction, par statut, par avocat responsable, par période.</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3.7  Tableau de bord du cabinet</w:t>
      </w:r>
    </w:p>
    <w:p>
      <w:pPr>
        <w:pStyle w:val="ListParagraph"/>
        <w:numPr>
          <w:ilvl w:val="0"/>
          <w:numId w:val="2"/>
        </w:numPr>
        <w:spacing w:after="50" w:before="50"/>
      </w:pPr>
      <w:r>
        <w:rPr>
          <w:rFonts w:ascii="Arial" w:cs="Arial" w:eastAsia="Arial" w:hAnsi="Arial"/>
          <w:color w:val="1A1A1A"/>
          <w:sz w:val="22"/>
          <w:szCs w:val="22"/>
        </w:rPr>
        <w:t xml:space="preserve">Vue d'ensemble : nombre de dossiers actifs, audiences cette semaine, honoraires non payés, tâches en retard.</w:t>
      </w:r>
    </w:p>
    <w:p>
      <w:pPr>
        <w:pStyle w:val="ListParagraph"/>
        <w:numPr>
          <w:ilvl w:val="0"/>
          <w:numId w:val="2"/>
        </w:numPr>
        <w:spacing w:after="50" w:before="50"/>
      </w:pPr>
      <w:r>
        <w:rPr>
          <w:rFonts w:ascii="Arial" w:cs="Arial" w:eastAsia="Arial" w:hAnsi="Arial"/>
          <w:color w:val="1A1A1A"/>
          <w:sz w:val="22"/>
          <w:szCs w:val="22"/>
        </w:rPr>
        <w:t xml:space="preserve">Alerte : dossiers sans activité depuis plus de 30 jours, délais de recours qui approchent dans les 7 jours.</w:t>
      </w:r>
    </w:p>
    <w:p>
      <w:pPr>
        <w:pStyle w:val="ListParagraph"/>
        <w:numPr>
          <w:ilvl w:val="0"/>
          <w:numId w:val="2"/>
        </w:numPr>
        <w:spacing w:after="50" w:before="50"/>
      </w:pPr>
      <w:r>
        <w:rPr>
          <w:rFonts w:ascii="Arial" w:cs="Arial" w:eastAsia="Arial" w:hAnsi="Arial"/>
          <w:color w:val="1A1A1A"/>
          <w:sz w:val="22"/>
          <w:szCs w:val="22"/>
        </w:rPr>
        <w:t xml:space="preserve">Statistiques simples : dossiers par type de procédure, par tribunal, par avocat, par mois.</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3.8  Interface bilingue arabe / français avec support RTL</w:t>
      </w:r>
    </w:p>
    <w:p>
      <w:pPr>
        <w:pStyle w:val="ListParagraph"/>
        <w:numPr>
          <w:ilvl w:val="0"/>
          <w:numId w:val="2"/>
        </w:numPr>
        <w:spacing w:after="50" w:before="50"/>
      </w:pPr>
      <w:r>
        <w:rPr>
          <w:rFonts w:ascii="Arial" w:cs="Arial" w:eastAsia="Arial" w:hAnsi="Arial"/>
          <w:color w:val="1A1A1A"/>
          <w:sz w:val="22"/>
          <w:szCs w:val="22"/>
        </w:rPr>
        <w:t xml:space="preserve">L'interface est entièrement disponible en arabe (écriture de droite à gauche — RTL) et en français.</w:t>
      </w:r>
    </w:p>
    <w:p>
      <w:pPr>
        <w:pStyle w:val="ListParagraph"/>
        <w:numPr>
          <w:ilvl w:val="0"/>
          <w:numId w:val="2"/>
        </w:numPr>
        <w:spacing w:after="50" w:before="50"/>
      </w:pPr>
      <w:r>
        <w:rPr>
          <w:rFonts w:ascii="Arial" w:cs="Arial" w:eastAsia="Arial" w:hAnsi="Arial"/>
          <w:color w:val="1A1A1A"/>
          <w:sz w:val="22"/>
          <w:szCs w:val="22"/>
        </w:rPr>
        <w:t xml:space="preserve">L'utilisateur choisit sa langue à la première connexion et peut changer à tout moment.</w:t>
      </w:r>
    </w:p>
    <w:p>
      <w:pPr>
        <w:pStyle w:val="ListParagraph"/>
        <w:numPr>
          <w:ilvl w:val="0"/>
          <w:numId w:val="2"/>
        </w:numPr>
        <w:spacing w:after="50" w:before="50"/>
      </w:pPr>
      <w:r>
        <w:rPr>
          <w:rFonts w:ascii="Arial" w:cs="Arial" w:eastAsia="Arial" w:hAnsi="Arial"/>
          <w:color w:val="1A1A1A"/>
          <w:sz w:val="22"/>
          <w:szCs w:val="22"/>
        </w:rPr>
        <w:t xml:space="preserve">Tous les documents générés (notes d'honoraires, reçus) peuvent être produits en arabe ou en français selon le choix du cabinet.</w:t>
      </w:r>
    </w:p>
    <w:p>
      <w:pPr>
        <w:pStyle w:val="ListParagraph"/>
        <w:numPr>
          <w:ilvl w:val="0"/>
          <w:numId w:val="2"/>
        </w:numPr>
        <w:spacing w:after="50" w:before="50"/>
      </w:pPr>
      <w:r>
        <w:rPr>
          <w:rFonts w:ascii="Arial" w:cs="Arial" w:eastAsia="Arial" w:hAnsi="Arial"/>
          <w:color w:val="1A1A1A"/>
          <w:sz w:val="22"/>
          <w:szCs w:val="22"/>
        </w:rPr>
        <w:t xml:space="preserve">Les dates sont affichées selon le calendrier grégorien et le calendrier hégirien selon la préférence.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04</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Architecture Technique</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4.1  Principes d'architecture</w:t>
      </w:r>
    </w:p>
    <w:p>
      <w:pPr>
        <w:spacing w:after="60" w:before="60"/>
        <w:jc w:val="both"/>
      </w:pPr>
      <w:r>
        <w:rPr>
          <w:rFonts w:ascii="Arial" w:cs="Arial" w:eastAsia="Arial" w:hAnsi="Arial"/>
          <w:color w:val="1A1A1A"/>
          <w:sz w:val="22"/>
          <w:szCs w:val="22"/>
        </w:rPr>
        <w:t xml:space="preserve">L'architecture choisie est une architecture 3-tiers classique et éprouvée : interface web, serveur d'application (API), base de données. Ce choix est volontairement simple pour permettre à une équipe de 2 à 4 développeurs de maîtriser l'ensemble du système. Elle sera évolutive si le volume le justifie.</w:t>
      </w:r>
    </w:p>
    <w:p>
      <w:pPr>
        <w:spacing w:after="0" w:before="60"/>
      </w:pPr>
      <w:r>
        <w:t xml:space="preserve"/>
      </w:r>
    </w:p>
    <w:p>
      <w:pPr>
        <w:pStyle w:val="ListParagraph"/>
        <w:numPr>
          <w:ilvl w:val="0"/>
          <w:numId w:val="2"/>
        </w:numPr>
        <w:spacing w:after="50" w:before="50"/>
      </w:pPr>
      <w:r>
        <w:rPr>
          <w:rFonts w:ascii="Arial" w:cs="Arial" w:eastAsia="Arial" w:hAnsi="Arial"/>
          <w:color w:val="1A1A1A"/>
          <w:sz w:val="22"/>
          <w:szCs w:val="22"/>
        </w:rPr>
        <w:t xml:space="preserve">Architecture 3-tiers : Frontend (interface navigateur) / Backend (API REST) / Base de données</w:t>
      </w:r>
    </w:p>
    <w:p>
      <w:pPr>
        <w:pStyle w:val="ListParagraph"/>
        <w:numPr>
          <w:ilvl w:val="0"/>
          <w:numId w:val="2"/>
        </w:numPr>
        <w:spacing w:after="50" w:before="50"/>
      </w:pPr>
      <w:r>
        <w:rPr>
          <w:rFonts w:ascii="Arial" w:cs="Arial" w:eastAsia="Arial" w:hAnsi="Arial"/>
          <w:color w:val="1A1A1A"/>
          <w:sz w:val="22"/>
          <w:szCs w:val="22"/>
        </w:rPr>
        <w:t xml:space="preserve">Multi-tenant : une seule installation sert tous les cabinets abonnés, chacun isolé dans sa propre organisation</w:t>
      </w:r>
    </w:p>
    <w:p>
      <w:pPr>
        <w:pStyle w:val="ListParagraph"/>
        <w:numPr>
          <w:ilvl w:val="0"/>
          <w:numId w:val="2"/>
        </w:numPr>
        <w:spacing w:after="50" w:before="50"/>
      </w:pPr>
      <w:r>
        <w:rPr>
          <w:rFonts w:ascii="Arial" w:cs="Arial" w:eastAsia="Arial" w:hAnsi="Arial"/>
          <w:color w:val="1A1A1A"/>
          <w:sz w:val="22"/>
          <w:szCs w:val="22"/>
        </w:rPr>
        <w:t xml:space="preserve">API RESTful documentée : toutes les fonctionnalités sont accessibles via API — facilite les futures intégrations</w:t>
      </w:r>
    </w:p>
    <w:p>
      <w:pPr>
        <w:pStyle w:val="ListParagraph"/>
        <w:numPr>
          <w:ilvl w:val="0"/>
          <w:numId w:val="2"/>
        </w:numPr>
        <w:spacing w:after="50" w:before="50"/>
      </w:pPr>
      <w:r>
        <w:rPr>
          <w:rFonts w:ascii="Arial" w:cs="Arial" w:eastAsia="Arial" w:hAnsi="Arial"/>
          <w:color w:val="1A1A1A"/>
          <w:sz w:val="22"/>
          <w:szCs w:val="22"/>
        </w:rPr>
        <w:t xml:space="preserve">Hébergement au Maroc en priorité — données soumises uniquement au droit marocain</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4.2  Stack technologique choisie et justifiée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2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 retenue</w:t>
            </w:r>
          </w:p>
        </w:tc>
        <w:tc>
          <w:tcPr>
            <w:tcW w:type="dxa" w:w="46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 du choix</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web</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 Next.js</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Supporte le RTL arabe nativement, performant, grande communaute, facilement maintenable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Gestion RTL arabe</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Bibliothèque i18next + direction RTL CSS</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Support complet arabe/français, changement de langue sans rechargement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NestJS</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Typage TypeScript, architecture propre, facile à tester, bon support arabe (Unicode UTF-8)</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Base de donnees</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PostgreSQL 16</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Supporte l'arabe et l'encodage UTF-8, requetes full-text en arabe, gratuit et stable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Recherche texte arabe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full-text search + extension pg_trgm</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Recherche dans les textes arabes sans elasticsearch, suffisant pour phase 1</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Stockage fichiers</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MinIO (compatible S3)</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Peut etre heberge sur les serveurs marocains, gratuit, compatible avec les standards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Authentification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Keycloak</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Supporte SMS OTP (connexion par telephone), gestion des roles, solution eprouvee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Envoi SMS (OTP + alertes)</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Infobip Maroc ou SMS Maroc (Inwi/IAM API)</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Operateurs locaux, SMS arrives en arabe, tarifs MAD, moins cher que Twilio international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Envoi emails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SMTP local ou Brevo (serveurs EU)</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fiable, pas cher — Brevo 0 EUR jusqu'a 300 emails/jour</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OCR documents arabes</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Tesseract OCR avec pack langue arabe</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Gratuit, fonctionne offline, pas d'envoi de documents confidentiels vers l'exterieur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Paiements locaux</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CMI (Centre Monetique Interbancaire) + HPS PowerCARD</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Paiement par carte bancaire marocaine (CIH, Attijariwafa, BMCE, Banque Populaire...)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Infrastructure</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Docker + VPS marocain (Maroc Telecom Cloud, OVH Maroc ou Tier4)</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Automatisation des tests et deployments, gratuit pour la taille du projet</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Sentry (erreurs) + Uptime Robot (disponibilite)</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Sentry gratuit en dessous de 5 000 erreurs/mois, Uptime Robot gratuit</w:t>
            </w:r>
          </w:p>
        </w:tc>
      </w:tr>
    </w:tbl>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4.3  Gestion du multi-tenant</w:t>
      </w:r>
    </w:p>
    <w:p>
      <w:pPr>
        <w:spacing w:after="60" w:before="60"/>
        <w:jc w:val="both"/>
      </w:pPr>
      <w:r>
        <w:rPr>
          <w:rFonts w:ascii="Arial" w:cs="Arial" w:eastAsia="Arial" w:hAnsi="Arial"/>
          <w:color w:val="1A1A1A"/>
          <w:sz w:val="22"/>
          <w:szCs w:val="22"/>
        </w:rPr>
        <w:t xml:space="preserve">Chaque cabinet inscrit crée une Organisation sur la plateforme. Toutes les données (dossiers, clients, documents, utilisateurs) sont liées à cette organisation et totalement invisibles pour les autres cabinets.</w:t>
      </w:r>
    </w:p>
    <w:p>
      <w:pPr>
        <w:pStyle w:val="ListParagraph"/>
        <w:numPr>
          <w:ilvl w:val="0"/>
          <w:numId w:val="2"/>
        </w:numPr>
        <w:spacing w:after="50" w:before="50"/>
      </w:pPr>
      <w:r>
        <w:rPr>
          <w:rFonts w:ascii="Arial" w:cs="Arial" w:eastAsia="Arial" w:hAnsi="Arial"/>
          <w:color w:val="1A1A1A"/>
          <w:sz w:val="22"/>
          <w:szCs w:val="22"/>
        </w:rPr>
        <w:t xml:space="preserve">Technique : schéma partagé avec colonne organisation_id sur chaque table — simple, performant jusqu'à 5 000 organisations</w:t>
      </w:r>
    </w:p>
    <w:p>
      <w:pPr>
        <w:pStyle w:val="ListParagraph"/>
        <w:numPr>
          <w:ilvl w:val="0"/>
          <w:numId w:val="2"/>
        </w:numPr>
        <w:spacing w:after="50" w:before="50"/>
      </w:pPr>
      <w:r>
        <w:rPr>
          <w:rFonts w:ascii="Arial" w:cs="Arial" w:eastAsia="Arial" w:hAnsi="Arial"/>
          <w:color w:val="1A1A1A"/>
          <w:sz w:val="22"/>
          <w:szCs w:val="22"/>
        </w:rPr>
        <w:t xml:space="preserve">Chaque requête filtre automatiquement par organisation_id — isolation garantie au niveau applicatif</w:t>
      </w:r>
    </w:p>
    <w:p>
      <w:pPr>
        <w:pStyle w:val="ListParagraph"/>
        <w:numPr>
          <w:ilvl w:val="0"/>
          <w:numId w:val="2"/>
        </w:numPr>
        <w:spacing w:after="50" w:before="50"/>
      </w:pPr>
      <w:r>
        <w:rPr>
          <w:rFonts w:ascii="Arial" w:cs="Arial" w:eastAsia="Arial" w:hAnsi="Arial"/>
          <w:color w:val="1A1A1A"/>
          <w:sz w:val="22"/>
          <w:szCs w:val="22"/>
        </w:rPr>
        <w:t xml:space="preserve">Les fichiers sont stockés dans des répertoires séparés : /org-{id}/dossiers/{dossier-id}/</w:t>
      </w:r>
    </w:p>
    <w:p>
      <w:pPr>
        <w:pStyle w:val="ListParagraph"/>
        <w:numPr>
          <w:ilvl w:val="0"/>
          <w:numId w:val="2"/>
        </w:numPr>
        <w:spacing w:after="50" w:before="50"/>
      </w:pPr>
      <w:r>
        <w:rPr>
          <w:rFonts w:ascii="Arial" w:cs="Arial" w:eastAsia="Arial" w:hAnsi="Arial"/>
          <w:color w:val="1A1A1A"/>
          <w:sz w:val="22"/>
          <w:szCs w:val="22"/>
        </w:rPr>
        <w:t xml:space="preserve">L'équipe technique de l'éditeur peut accéder à une organisation uniquement avec l'accord écrit du cabinet (support)</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4.4  Hébergement au Maroc — Options réalistes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26"/>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Fournisseur</w:t>
            </w:r>
          </w:p>
        </w:tc>
        <w:tc>
          <w:tcPr>
            <w:tcW w:type="dxa" w:w="22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Localisation datacenter</w:t>
            </w:r>
          </w:p>
        </w:tc>
        <w:tc>
          <w:tcPr>
            <w:tcW w:type="dxa" w:w="3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Offre adaptee</w:t>
            </w:r>
          </w:p>
        </w:tc>
        <w:tc>
          <w:tcPr>
            <w:tcW w:type="dxa" w:w="18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Cout estimé / mois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Maroc Telecom Cloud (IAM)</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Casablanca, Maroc</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VPS 8 vCPU / 16 Go RAM + stockage objet</w:t>
            </w:r>
          </w:p>
        </w:tc>
        <w:tc>
          <w:tcPr>
            <w:tcW w:type="dxa" w:w="1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1 500 a 2 500 MAD</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Inwi Business Cloud</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Casablanca, Maroc</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Infrastructure virtuelle dedie entreprises</w:t>
            </w:r>
          </w:p>
        </w:tc>
        <w:tc>
          <w:tcPr>
            <w:tcW w:type="dxa" w:w="18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1 800 a 3 000 MAD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OVHcloud (Strasbourg, EU)</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France — donnees en Europe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VPS Essential / Business — alternative si Maroc indisponible</w:t>
            </w:r>
          </w:p>
        </w:tc>
        <w:tc>
          <w:tcPr>
            <w:tcW w:type="dxa" w:w="1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 a 900 MAD (60-110 EUR)</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Tier 4 Maroc (LMS)</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Casablanca — Ain Sebaa</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Colocation ou cloud prive pour entreprise</w:t>
            </w:r>
          </w:p>
        </w:tc>
        <w:tc>
          <w:tcPr>
            <w:tcW w:type="dxa" w:w="18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Sur devis</w:t>
            </w:r>
          </w:p>
        </w:tc>
      </w:tr>
    </w:tbl>
    <w:p>
      <w:pPr>
        <w:spacing w:after="40" w:before="40"/>
      </w:pPr>
      <w:r>
        <w:rPr>
          <w:rFonts w:ascii="Arial" w:cs="Arial" w:eastAsia="Arial" w:hAnsi="Arial"/>
          <w:i/>
          <w:iCs/>
          <w:color w:val="4A5568"/>
          <w:sz w:val="20"/>
          <w:szCs w:val="20"/>
        </w:rPr>
        <w:t xml:space="preserve">Recommandation Phase 1 : démarrer avec OVHcloud (moins cher, plus fiable) et migrer vers un hébergeur marocain en Phase 2 quand la clientèle grandit et que la conformité locale devient un argument commercial.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05</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Sécurité et Conformité Loi 09-08</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5.1  Cadre légal marocain applicable</w:t>
      </w:r>
    </w:p>
    <w:p>
      <w:pPr>
        <w:spacing w:after="60" w:before="60"/>
        <w:jc w:val="both"/>
      </w:pPr>
      <w:r>
        <w:rPr>
          <w:rFonts w:ascii="Arial" w:cs="Arial" w:eastAsia="Arial" w:hAnsi="Arial"/>
          <w:color w:val="1A1A1A"/>
          <w:sz w:val="22"/>
          <w:szCs w:val="22"/>
        </w:rPr>
        <w:t xml:space="preserve">Le projet est soumis à deux cadres légaux principaux au Maroc :</w:t>
      </w:r>
    </w:p>
    <w:p>
      <w:pPr>
        <w:spacing w:after="0" w:before="60"/>
      </w:pPr>
      <w:r>
        <w:t xml:space="preserve"/>
      </w:r>
    </w:p>
    <w:p>
      <w:pPr>
        <w:pStyle w:val="Heading3"/>
        <w:spacing w:after="80" w:before="200"/>
      </w:pPr>
      <w:r>
        <w:rPr>
          <w:rFonts w:ascii="Arial" w:cs="Arial" w:eastAsia="Arial" w:hAnsi="Arial"/>
          <w:b/>
          <w:bCs/>
          <w:color w:val="C1121F"/>
          <w:sz w:val="22"/>
          <w:szCs w:val="22"/>
        </w:rPr>
        <w:t xml:space="preserve">Loi 09-08 relative à la protection des données personnelles</w:t>
      </w:r>
    </w:p>
    <w:p>
      <w:pPr>
        <w:pStyle w:val="ListParagraph"/>
        <w:numPr>
          <w:ilvl w:val="0"/>
          <w:numId w:val="2"/>
        </w:numPr>
        <w:spacing w:after="50" w:before="50"/>
      </w:pPr>
      <w:r>
        <w:rPr>
          <w:rFonts w:ascii="Arial" w:cs="Arial" w:eastAsia="Arial" w:hAnsi="Arial"/>
          <w:color w:val="1A1A1A"/>
          <w:sz w:val="22"/>
          <w:szCs w:val="22"/>
        </w:rPr>
        <w:t xml:space="preserve">Entrée en vigueur en 2009, supervisée par la CNDP (Commission Nationale de contrôle de la protection des Données à caractère Personnel).</w:t>
      </w:r>
    </w:p>
    <w:p>
      <w:pPr>
        <w:pStyle w:val="ListParagraph"/>
        <w:numPr>
          <w:ilvl w:val="0"/>
          <w:numId w:val="2"/>
        </w:numPr>
        <w:spacing w:after="50" w:before="50"/>
      </w:pPr>
      <w:r>
        <w:rPr>
          <w:rFonts w:ascii="Arial" w:cs="Arial" w:eastAsia="Arial" w:hAnsi="Arial"/>
          <w:color w:val="1A1A1A"/>
          <w:sz w:val="22"/>
          <w:szCs w:val="22"/>
        </w:rPr>
        <w:t xml:space="preserve">Obligation de déclarer les traitements de données à caractère personnel auprès de la CNDP avant mise en production.</w:t>
      </w:r>
    </w:p>
    <w:p>
      <w:pPr>
        <w:pStyle w:val="ListParagraph"/>
        <w:numPr>
          <w:ilvl w:val="0"/>
          <w:numId w:val="2"/>
        </w:numPr>
        <w:spacing w:after="50" w:before="50"/>
      </w:pPr>
      <w:r>
        <w:rPr>
          <w:rFonts w:ascii="Arial" w:cs="Arial" w:eastAsia="Arial" w:hAnsi="Arial"/>
          <w:color w:val="1A1A1A"/>
          <w:sz w:val="22"/>
          <w:szCs w:val="22"/>
        </w:rPr>
        <w:t xml:space="preserve">Interdiction de transférer des données personnelles vers un pays n'offrant pas un niveau de protection suffisant.</w:t>
      </w:r>
    </w:p>
    <w:p>
      <w:pPr>
        <w:pStyle w:val="ListParagraph"/>
        <w:numPr>
          <w:ilvl w:val="0"/>
          <w:numId w:val="2"/>
        </w:numPr>
        <w:spacing w:after="50" w:before="50"/>
      </w:pPr>
      <w:r>
        <w:rPr>
          <w:rFonts w:ascii="Arial" w:cs="Arial" w:eastAsia="Arial" w:hAnsi="Arial"/>
          <w:color w:val="1A1A1A"/>
          <w:sz w:val="22"/>
          <w:szCs w:val="22"/>
        </w:rPr>
        <w:t xml:space="preserve">Droit d'accès, de rectification et d'opposition pour les personnes concernées.</w:t>
      </w:r>
    </w:p>
    <w:p>
      <w:pPr>
        <w:spacing w:after="0" w:before="80"/>
      </w:pPr>
      <w:r>
        <w:t xml:space="preserve"/>
      </w:r>
    </w:p>
    <w:p>
      <w:pPr>
        <w:pStyle w:val="Heading3"/>
        <w:spacing w:after="80" w:before="200"/>
      </w:pPr>
      <w:r>
        <w:rPr>
          <w:rFonts w:ascii="Arial" w:cs="Arial" w:eastAsia="Arial" w:hAnsi="Arial"/>
          <w:b/>
          <w:bCs/>
          <w:color w:val="C1121F"/>
          <w:sz w:val="22"/>
          <w:szCs w:val="22"/>
        </w:rPr>
        <w:t xml:space="preserve">Secret professionnel de l'avocat — Dahir portant statut des avocats</w:t>
      </w:r>
    </w:p>
    <w:p>
      <w:pPr>
        <w:pStyle w:val="ListParagraph"/>
        <w:numPr>
          <w:ilvl w:val="0"/>
          <w:numId w:val="2"/>
        </w:numPr>
        <w:spacing w:after="50" w:before="50"/>
      </w:pPr>
      <w:r>
        <w:rPr>
          <w:rFonts w:ascii="Arial" w:cs="Arial" w:eastAsia="Arial" w:hAnsi="Arial"/>
          <w:color w:val="1A1A1A"/>
          <w:sz w:val="22"/>
          <w:szCs w:val="22"/>
        </w:rPr>
        <w:t xml:space="preserve">Les données des clients et des dossiers juridiques sont couvertes par le secret professionnel absolu.</w:t>
      </w:r>
    </w:p>
    <w:p>
      <w:pPr>
        <w:pStyle w:val="ListParagraph"/>
        <w:numPr>
          <w:ilvl w:val="0"/>
          <w:numId w:val="2"/>
        </w:numPr>
        <w:spacing w:after="50" w:before="50"/>
      </w:pPr>
      <w:r>
        <w:rPr>
          <w:rFonts w:ascii="Arial" w:cs="Arial" w:eastAsia="Arial" w:hAnsi="Arial"/>
          <w:color w:val="1A1A1A"/>
          <w:sz w:val="22"/>
          <w:szCs w:val="22"/>
        </w:rPr>
        <w:t xml:space="preserve">L'éditeur du logiciel ne peut en aucun cas accéder aux données d'un dossier client sans autorisation expresse du cabinet.</w:t>
      </w:r>
    </w:p>
    <w:p>
      <w:pPr>
        <w:pStyle w:val="ListParagraph"/>
        <w:numPr>
          <w:ilvl w:val="0"/>
          <w:numId w:val="2"/>
        </w:numPr>
        <w:spacing w:after="50" w:before="50"/>
      </w:pPr>
      <w:r>
        <w:rPr>
          <w:rFonts w:ascii="Arial" w:cs="Arial" w:eastAsia="Arial" w:hAnsi="Arial"/>
          <w:color w:val="1A1A1A"/>
          <w:sz w:val="22"/>
          <w:szCs w:val="22"/>
        </w:rPr>
        <w:t xml:space="preserve">Cette contrainte légale est un argument commercial : le chiffrement des données au repos est obligatoire.</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5.2  Mesures de sécurité implémentées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Domaine</w:t>
            </w:r>
          </w:p>
        </w:tc>
        <w:tc>
          <w:tcPr>
            <w:tcW w:type="dxa" w:w="35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Mesure concrete</w:t>
            </w:r>
          </w:p>
        </w:tc>
        <w:tc>
          <w:tcPr>
            <w:tcW w:type="dxa" w:w="35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Connexion</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Mot de passe + OTP par SMS obligatoire pour les avocats</w:t>
            </w:r>
          </w:p>
        </w:tc>
        <w:tc>
          <w:tcPr>
            <w:tcW w:type="dxa" w:w="3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Compte avocat tres sensible — double verification necessaire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Connexion client</w:t>
            </w:r>
          </w:p>
        </w:tc>
        <w:tc>
          <w:tcPr>
            <w:tcW w:type="dxa" w:w="35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OTP par SMS uniquement (pas de mot de passe a retenir)</w:t>
            </w:r>
          </w:p>
        </w:tc>
        <w:tc>
          <w:tcPr>
            <w:tcW w:type="dxa" w:w="35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Simple pour les clients peu habitues au numerique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Chiffrement transit</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 / TLS 1.3 obligatoire — aucune communication en clair</w:t>
            </w:r>
          </w:p>
        </w:tc>
        <w:tc>
          <w:tcPr>
            <w:tcW w:type="dxa" w:w="3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minimum — toute donnee interceptee est illisible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Chiffrement stockage</w:t>
            </w:r>
          </w:p>
        </w:tc>
        <w:tc>
          <w:tcPr>
            <w:tcW w:type="dxa" w:w="35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Fichiers chiffres AES-256 sur le serveur</w:t>
            </w:r>
          </w:p>
        </w:tc>
        <w:tc>
          <w:tcPr>
            <w:tcW w:type="dxa" w:w="35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Si le disque est vole, les fichiers sont illisibles sans la cle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Mots de passe</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Hachage bcrypt — jamais stockes en clair</w:t>
            </w:r>
          </w:p>
        </w:tc>
        <w:tc>
          <w:tcPr>
            <w:tcW w:type="dxa" w:w="3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Recommandation ANSSI et bonne pratique universelle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Sessions</w:t>
            </w:r>
          </w:p>
        </w:tc>
        <w:tc>
          <w:tcPr>
            <w:tcW w:type="dxa" w:w="35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Expiration automatique apres 8h d'inactivite</w:t>
            </w:r>
          </w:p>
        </w:tc>
        <w:tc>
          <w:tcPr>
            <w:tcW w:type="dxa" w:w="35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Securite si l'avocat oublie de se deconnecter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Tentatives echouees</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Blocage apres 5 tentatives incorrectes — deblocage par SMS</w:t>
            </w:r>
          </w:p>
        </w:tc>
        <w:tc>
          <w:tcPr>
            <w:tcW w:type="dxa" w:w="3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Protection contre les attaques par force brute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Sauvegardes</w:t>
            </w:r>
          </w:p>
        </w:tc>
        <w:tc>
          <w:tcPr>
            <w:tcW w:type="dxa" w:w="35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Sauvegarde quotidienne chiffree — conservation 30 jours</w:t>
            </w:r>
          </w:p>
        </w:tc>
        <w:tc>
          <w:tcPr>
            <w:tcW w:type="dxa" w:w="35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Recuperation possible en cas de panne ou d'erreur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Journal d'audit</w:t>
            </w:r>
          </w:p>
        </w:tc>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Chaque action enregistree : qui, quoi, quand, depuis quelle adresse IP</w:t>
            </w:r>
          </w:p>
        </w:tc>
        <w:tc>
          <w:tcPr>
            <w:tcW w:type="dxa" w:w="3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Obligatoire pour la conformite et utile en cas de litige</w:t>
            </w:r>
          </w:p>
        </w:tc>
      </w:tr>
    </w:tbl>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5.3  Obligations Loi 09-08 — Comment le produit les respecte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Obligation legale (Loi 09-08)</w:t>
            </w:r>
          </w:p>
        </w:tc>
        <w:tc>
          <w:tcPr>
            <w:tcW w:type="dxa" w:w="55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 dans le produit</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Declaration a la CNDP (Art. 12-17)</w:t>
            </w:r>
          </w:p>
        </w:tc>
        <w:tc>
          <w:tcPr>
            <w:tcW w:type="dxa" w:w="5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L'editeur effectue la declaration avant la mise en production — fourniture d'une attestation aux clients</w:t>
            </w:r>
          </w:p>
        </w:tc>
      </w:tr>
      <w:tr>
        <w:tc>
          <w:tcPr>
            <w:tcW w:type="dxa" w:w="35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Droit d'acces (Art. 7)</w:t>
            </w:r>
          </w:p>
        </w:tc>
        <w:tc>
          <w:tcPr>
            <w:tcW w:type="dxa" w:w="55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L'avocat peut exporter toutes les donnees de son cabinet en PDF ou CSV en un clic</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Droit de rectification (Art. 8)</w:t>
            </w:r>
          </w:p>
        </w:tc>
        <w:tc>
          <w:tcPr>
            <w:tcW w:type="dxa" w:w="5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Modification des donnees personnelles possible depuis l'interface — historique conserve</w:t>
            </w:r>
          </w:p>
        </w:tc>
      </w:tr>
      <w:tr>
        <w:tc>
          <w:tcPr>
            <w:tcW w:type="dxa" w:w="35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Droit d'opposition (Art. 9)</w:t>
            </w:r>
          </w:p>
        </w:tc>
        <w:tc>
          <w:tcPr>
            <w:tcW w:type="dxa" w:w="55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Suppression du compte et des donnees possible par l'administrateur du cabinet</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Securite des donnees (Art. 23)</w:t>
            </w:r>
          </w:p>
        </w:tc>
        <w:tc>
          <w:tcPr>
            <w:tcW w:type="dxa" w:w="5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Chiffrement, sauvegardes, controle d'acces — detailles dans la politique de securite</w:t>
            </w:r>
          </w:p>
        </w:tc>
      </w:tr>
      <w:tr>
        <w:tc>
          <w:tcPr>
            <w:tcW w:type="dxa" w:w="35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Transfert international (Art. 43-45)</w:t>
            </w:r>
          </w:p>
        </w:tc>
        <w:tc>
          <w:tcPr>
            <w:tcW w:type="dxa" w:w="55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Donnees hebergees au Maroc ou en Europe (OVH) — pas de transfert vers des pays tiers non adequats</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Conservation limitee</w:t>
            </w:r>
          </w:p>
        </w:tc>
        <w:tc>
          <w:tcPr>
            <w:tcW w:type="dxa" w:w="55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Les donnees d'un dossier cloture sont conservees 10 ans (usage legal) puis supprimees automatiquement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06</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Roadmap de Développement — 24 Mois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6.1  Principes de planification</w:t>
      </w:r>
    </w:p>
    <w:p>
      <w:pPr>
        <w:spacing w:after="60" w:before="60"/>
        <w:jc w:val="both"/>
      </w:pPr>
      <w:r>
        <w:rPr>
          <w:rFonts w:ascii="Arial" w:cs="Arial" w:eastAsia="Arial" w:hAnsi="Arial"/>
          <w:color w:val="1A1A1A"/>
          <w:sz w:val="22"/>
          <w:szCs w:val="22"/>
        </w:rPr>
        <w:t xml:space="preserve">Quatre phases progressives. Chaque phase livre un produit réellement utilisable avant de passer à la suivante. L'objectif est d'avoir des clients payants le plus tôt possible pour financer le développement sans dette technique.</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6.2  Phase 0 — Préparation (Mois 1 et 2)</w:t>
      </w:r>
    </w:p>
    <w:p>
      <w:pPr>
        <w:spacing w:after="40" w:before="40"/>
      </w:pPr>
      <w:r>
        <w:rPr>
          <w:rFonts w:ascii="Arial" w:cs="Arial" w:eastAsia="Arial" w:hAnsi="Arial"/>
          <w:i/>
          <w:iCs/>
          <w:color w:val="4A5568"/>
          <w:sz w:val="20"/>
          <w:szCs w:val="20"/>
        </w:rPr>
        <w:t xml:space="preserve">Livrable : environnement technique prêt, maquettes validées par des avocats marocains.</w:t>
      </w:r>
    </w:p>
    <w:p>
      <w:pPr>
        <w:pStyle w:val="ListParagraph"/>
        <w:numPr>
          <w:ilvl w:val="0"/>
          <w:numId w:val="2"/>
        </w:numPr>
        <w:spacing w:after="50" w:before="50"/>
      </w:pPr>
      <w:r>
        <w:rPr>
          <w:rFonts w:ascii="Arial" w:cs="Arial" w:eastAsia="Arial" w:hAnsi="Arial"/>
          <w:color w:val="1A1A1A"/>
          <w:sz w:val="22"/>
          <w:szCs w:val="22"/>
        </w:rPr>
        <w:t xml:space="preserve">Mise en place de l'environnement de développement (Docker, Git, CI/CD GitHub Actions)</w:t>
      </w:r>
    </w:p>
    <w:p>
      <w:pPr>
        <w:pStyle w:val="ListParagraph"/>
        <w:numPr>
          <w:ilvl w:val="0"/>
          <w:numId w:val="2"/>
        </w:numPr>
        <w:spacing w:after="50" w:before="50"/>
      </w:pPr>
      <w:r>
        <w:rPr>
          <w:rFonts w:ascii="Arial" w:cs="Arial" w:eastAsia="Arial" w:hAnsi="Arial"/>
          <w:color w:val="1A1A1A"/>
          <w:sz w:val="22"/>
          <w:szCs w:val="22"/>
        </w:rPr>
        <w:t xml:space="preserve">Configuration des serveurs d'hébergement — environnements staging et production séparés</w:t>
      </w:r>
    </w:p>
    <w:p>
      <w:pPr>
        <w:pStyle w:val="ListParagraph"/>
        <w:numPr>
          <w:ilvl w:val="0"/>
          <w:numId w:val="2"/>
        </w:numPr>
        <w:spacing w:after="50" w:before="50"/>
      </w:pPr>
      <w:r>
        <w:rPr>
          <w:rFonts w:ascii="Arial" w:cs="Arial" w:eastAsia="Arial" w:hAnsi="Arial"/>
          <w:color w:val="1A1A1A"/>
          <w:sz w:val="22"/>
          <w:szCs w:val="22"/>
        </w:rPr>
        <w:t xml:space="preserve">Mise en place de PostgreSQL avec les extensions nécessaires pour le support de l'arabe</w:t>
      </w:r>
    </w:p>
    <w:p>
      <w:pPr>
        <w:pStyle w:val="ListParagraph"/>
        <w:numPr>
          <w:ilvl w:val="0"/>
          <w:numId w:val="2"/>
        </w:numPr>
        <w:spacing w:after="50" w:before="50"/>
      </w:pPr>
      <w:r>
        <w:rPr>
          <w:rFonts w:ascii="Arial" w:cs="Arial" w:eastAsia="Arial" w:hAnsi="Arial"/>
          <w:color w:val="1A1A1A"/>
          <w:sz w:val="22"/>
          <w:szCs w:val="22"/>
        </w:rPr>
        <w:t xml:space="preserve">Définition du modèle de données complet : dossiers, documents, parties, audiences, utilisateurs, organisations</w:t>
      </w:r>
    </w:p>
    <w:p>
      <w:pPr>
        <w:pStyle w:val="ListParagraph"/>
        <w:numPr>
          <w:ilvl w:val="0"/>
          <w:numId w:val="2"/>
        </w:numPr>
        <w:spacing w:after="50" w:before="50"/>
      </w:pPr>
      <w:r>
        <w:rPr>
          <w:rFonts w:ascii="Arial" w:cs="Arial" w:eastAsia="Arial" w:hAnsi="Arial"/>
          <w:color w:val="1A1A1A"/>
          <w:sz w:val="22"/>
          <w:szCs w:val="22"/>
        </w:rPr>
        <w:t xml:space="preserve">Réalisation de maquettes des écrans principaux en arabe (interface RTL) avec Figma — validées par 5 avocats de Casablanca ou Rabat</w:t>
      </w:r>
    </w:p>
    <w:p>
      <w:pPr>
        <w:pStyle w:val="ListParagraph"/>
        <w:numPr>
          <w:ilvl w:val="0"/>
          <w:numId w:val="2"/>
        </w:numPr>
        <w:spacing w:after="50" w:before="50"/>
      </w:pPr>
      <w:r>
        <w:rPr>
          <w:rFonts w:ascii="Arial" w:cs="Arial" w:eastAsia="Arial" w:hAnsi="Arial"/>
          <w:color w:val="1A1A1A"/>
          <w:sz w:val="22"/>
          <w:szCs w:val="22"/>
        </w:rPr>
        <w:t xml:space="preserve">Dépôt de la déclaration de traitement auprès de la CNDP</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6.3  Phase 1 — MVP (Mois 3 à 8) — Objectif : 15 cabinets pilotes</w:t>
      </w:r>
    </w:p>
    <w:p>
      <w:pPr>
        <w:spacing w:after="40" w:before="40"/>
      </w:pPr>
      <w:r>
        <w:rPr>
          <w:rFonts w:ascii="Arial" w:cs="Arial" w:eastAsia="Arial" w:hAnsi="Arial"/>
          <w:i/>
          <w:iCs/>
          <w:color w:val="4A5568"/>
          <w:sz w:val="20"/>
          <w:szCs w:val="20"/>
        </w:rPr>
        <w:t xml:space="preserve">Ce que doit avoir le produit pour être réellement utilisable par un avocat marocain.</w:t>
      </w:r>
    </w:p>
    <w:p>
      <w:pPr>
        <w:pStyle w:val="ListParagraph"/>
        <w:numPr>
          <w:ilvl w:val="0"/>
          <w:numId w:val="2"/>
        </w:numPr>
        <w:spacing w:after="50" w:before="50"/>
      </w:pPr>
      <w:r>
        <w:rPr>
          <w:rFonts w:ascii="Arial" w:cs="Arial" w:eastAsia="Arial" w:hAnsi="Arial"/>
          <w:color w:val="1A1A1A"/>
          <w:sz w:val="22"/>
          <w:szCs w:val="22"/>
        </w:rPr>
        <w:t xml:space="preserve">Inscription d'un cabinet, connexion par OTP SMS, gestion des utilisateurs et des rôles</w:t>
      </w:r>
    </w:p>
    <w:p>
      <w:pPr>
        <w:pStyle w:val="ListParagraph"/>
        <w:numPr>
          <w:ilvl w:val="0"/>
          <w:numId w:val="2"/>
        </w:numPr>
        <w:spacing w:after="50" w:before="50"/>
      </w:pPr>
      <w:r>
        <w:rPr>
          <w:rFonts w:ascii="Arial" w:cs="Arial" w:eastAsia="Arial" w:hAnsi="Arial"/>
          <w:color w:val="1A1A1A"/>
          <w:sz w:val="22"/>
          <w:szCs w:val="22"/>
        </w:rPr>
        <w:t xml:space="preserve">Création, modification et clôture de dossiers juridiques</w:t>
      </w:r>
    </w:p>
    <w:p>
      <w:pPr>
        <w:pStyle w:val="ListParagraph"/>
        <w:numPr>
          <w:ilvl w:val="0"/>
          <w:numId w:val="2"/>
        </w:numPr>
        <w:spacing w:after="50" w:before="50"/>
      </w:pPr>
      <w:r>
        <w:rPr>
          <w:rFonts w:ascii="Arial" w:cs="Arial" w:eastAsia="Arial" w:hAnsi="Arial"/>
          <w:color w:val="1A1A1A"/>
          <w:sz w:val="22"/>
          <w:szCs w:val="22"/>
        </w:rPr>
        <w:t xml:space="preserve">Dépôt et visualisation de documents (PDF, Word, images)</w:t>
      </w:r>
    </w:p>
    <w:p>
      <w:pPr>
        <w:pStyle w:val="ListParagraph"/>
        <w:numPr>
          <w:ilvl w:val="0"/>
          <w:numId w:val="2"/>
        </w:numPr>
        <w:spacing w:after="50" w:before="50"/>
      </w:pPr>
      <w:r>
        <w:rPr>
          <w:rFonts w:ascii="Arial" w:cs="Arial" w:eastAsia="Arial" w:hAnsi="Arial"/>
          <w:color w:val="1A1A1A"/>
          <w:sz w:val="22"/>
          <w:szCs w:val="22"/>
        </w:rPr>
        <w:t xml:space="preserve">Agenda avec types d'échéances adaptés au droit marocain et alertes SMS</w:t>
      </w:r>
    </w:p>
    <w:p>
      <w:pPr>
        <w:pStyle w:val="ListParagraph"/>
        <w:numPr>
          <w:ilvl w:val="0"/>
          <w:numId w:val="2"/>
        </w:numPr>
        <w:spacing w:after="50" w:before="50"/>
      </w:pPr>
      <w:r>
        <w:rPr>
          <w:rFonts w:ascii="Arial" w:cs="Arial" w:eastAsia="Arial" w:hAnsi="Arial"/>
          <w:color w:val="1A1A1A"/>
          <w:sz w:val="22"/>
          <w:szCs w:val="22"/>
        </w:rPr>
        <w:t xml:space="preserve">Notes d'honoraires en arabe et en français au format PDF</w:t>
      </w:r>
    </w:p>
    <w:p>
      <w:pPr>
        <w:pStyle w:val="ListParagraph"/>
        <w:numPr>
          <w:ilvl w:val="0"/>
          <w:numId w:val="2"/>
        </w:numPr>
        <w:spacing w:after="50" w:before="50"/>
      </w:pPr>
      <w:r>
        <w:rPr>
          <w:rFonts w:ascii="Arial" w:cs="Arial" w:eastAsia="Arial" w:hAnsi="Arial"/>
          <w:color w:val="1A1A1A"/>
          <w:sz w:val="22"/>
          <w:szCs w:val="22"/>
        </w:rPr>
        <w:t xml:space="preserve">Tableau de bord simple avec les indicateurs principaux</w:t>
      </w:r>
    </w:p>
    <w:p>
      <w:pPr>
        <w:pStyle w:val="ListParagraph"/>
        <w:numPr>
          <w:ilvl w:val="0"/>
          <w:numId w:val="2"/>
        </w:numPr>
        <w:spacing w:after="50" w:before="50"/>
      </w:pPr>
      <w:r>
        <w:rPr>
          <w:rFonts w:ascii="Arial" w:cs="Arial" w:eastAsia="Arial" w:hAnsi="Arial"/>
          <w:color w:val="1A1A1A"/>
          <w:sz w:val="22"/>
          <w:szCs w:val="22"/>
        </w:rPr>
        <w:t xml:space="preserve">Interface complète en arabe (RTL) et en français</w:t>
      </w:r>
    </w:p>
    <w:p>
      <w:pPr>
        <w:pStyle w:val="ListParagraph"/>
        <w:numPr>
          <w:ilvl w:val="0"/>
          <w:numId w:val="2"/>
        </w:numPr>
        <w:spacing w:after="50" w:before="50"/>
      </w:pPr>
      <w:r>
        <w:rPr>
          <w:rFonts w:ascii="Arial" w:cs="Arial" w:eastAsia="Arial" w:hAnsi="Arial"/>
          <w:color w:val="1A1A1A"/>
          <w:sz w:val="22"/>
          <w:szCs w:val="22"/>
        </w:rPr>
        <w:t xml:space="preserve">Portail client basique avec consultation des documents partagés</w:t>
      </w:r>
    </w:p>
    <w:p>
      <w:pPr>
        <w:spacing w:after="0" w:before="60"/>
      </w:pPr>
      <w:r>
        <w:t xml:space="preserve"/>
      </w:r>
    </w:p>
    <w:p>
      <w:pPr>
        <w:spacing w:after="40" w:before="40"/>
      </w:pPr>
      <w:r>
        <w:rPr>
          <w:rFonts w:ascii="Arial" w:cs="Arial" w:eastAsia="Arial" w:hAnsi="Arial"/>
          <w:i/>
          <w:iCs/>
          <w:color w:val="4A5568"/>
          <w:sz w:val="20"/>
          <w:szCs w:val="20"/>
        </w:rPr>
        <w:t xml:space="preserve">Critère de succès Phase 1 : 15 cabinets utilisent le produit pendant 60 jours sans demande d'interruption. NPS supérieur à 35.</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6.4  Phase 2 — Enrichissement (Mois 9 à 15) — Objectif : 80 clients payants</w:t>
      </w:r>
    </w:p>
    <w:p>
      <w:pPr>
        <w:pStyle w:val="ListParagraph"/>
        <w:numPr>
          <w:ilvl w:val="0"/>
          <w:numId w:val="2"/>
        </w:numPr>
        <w:spacing w:after="50" w:before="50"/>
      </w:pPr>
      <w:r>
        <w:rPr>
          <w:rFonts w:ascii="Arial" w:cs="Arial" w:eastAsia="Arial" w:hAnsi="Arial"/>
          <w:color w:val="1A1A1A"/>
          <w:sz w:val="22"/>
          <w:szCs w:val="22"/>
        </w:rPr>
        <w:t xml:space="preserve">OCR en arabe : rendre les jugements et contrats scannés recherchables</w:t>
      </w:r>
    </w:p>
    <w:p>
      <w:pPr>
        <w:pStyle w:val="ListParagraph"/>
        <w:numPr>
          <w:ilvl w:val="0"/>
          <w:numId w:val="2"/>
        </w:numPr>
        <w:spacing w:after="50" w:before="50"/>
      </w:pPr>
      <w:r>
        <w:rPr>
          <w:rFonts w:ascii="Arial" w:cs="Arial" w:eastAsia="Arial" w:hAnsi="Arial"/>
          <w:color w:val="1A1A1A"/>
          <w:sz w:val="22"/>
          <w:szCs w:val="22"/>
        </w:rPr>
        <w:t xml:space="preserve">Recherche full-text en arabe et en français dans tous les documents</w:t>
      </w:r>
    </w:p>
    <w:p>
      <w:pPr>
        <w:pStyle w:val="ListParagraph"/>
        <w:numPr>
          <w:ilvl w:val="0"/>
          <w:numId w:val="2"/>
        </w:numPr>
        <w:spacing w:after="50" w:before="50"/>
      </w:pPr>
      <w:r>
        <w:rPr>
          <w:rFonts w:ascii="Arial" w:cs="Arial" w:eastAsia="Arial" w:hAnsi="Arial"/>
          <w:color w:val="1A1A1A"/>
          <w:sz w:val="22"/>
          <w:szCs w:val="22"/>
        </w:rPr>
        <w:t xml:space="preserve">Portail client complet avec messagerie sécurisée et envoi de pièces depuis mobile</w:t>
      </w:r>
    </w:p>
    <w:p>
      <w:pPr>
        <w:pStyle w:val="ListParagraph"/>
        <w:numPr>
          <w:ilvl w:val="0"/>
          <w:numId w:val="2"/>
        </w:numPr>
        <w:spacing w:after="50" w:before="50"/>
      </w:pPr>
      <w:r>
        <w:rPr>
          <w:rFonts w:ascii="Arial" w:cs="Arial" w:eastAsia="Arial" w:hAnsi="Arial"/>
          <w:color w:val="1A1A1A"/>
          <w:sz w:val="22"/>
          <w:szCs w:val="22"/>
        </w:rPr>
        <w:t xml:space="preserve">Suivi du temps de travail et tableau de bord financier complet</w:t>
      </w:r>
    </w:p>
    <w:p>
      <w:pPr>
        <w:pStyle w:val="ListParagraph"/>
        <w:numPr>
          <w:ilvl w:val="0"/>
          <w:numId w:val="2"/>
        </w:numPr>
        <w:spacing w:after="50" w:before="50"/>
      </w:pPr>
      <w:r>
        <w:rPr>
          <w:rFonts w:ascii="Arial" w:cs="Arial" w:eastAsia="Arial" w:hAnsi="Arial"/>
          <w:color w:val="1A1A1A"/>
          <w:sz w:val="22"/>
          <w:szCs w:val="22"/>
        </w:rPr>
        <w:t xml:space="preserve">Synchronisation calendrier avec Google Calendar et Outlook (iCal)</w:t>
      </w:r>
    </w:p>
    <w:p>
      <w:pPr>
        <w:pStyle w:val="ListParagraph"/>
        <w:numPr>
          <w:ilvl w:val="0"/>
          <w:numId w:val="2"/>
        </w:numPr>
        <w:spacing w:after="50" w:before="50"/>
      </w:pPr>
      <w:r>
        <w:rPr>
          <w:rFonts w:ascii="Arial" w:cs="Arial" w:eastAsia="Arial" w:hAnsi="Arial"/>
          <w:color w:val="1A1A1A"/>
          <w:sz w:val="22"/>
          <w:szCs w:val="22"/>
        </w:rPr>
        <w:t xml:space="preserve">Application web entièrement optimisée mobile — performance sur smartphones Android d'entrée de gamme</w:t>
      </w:r>
    </w:p>
    <w:p>
      <w:pPr>
        <w:pStyle w:val="ListParagraph"/>
        <w:numPr>
          <w:ilvl w:val="0"/>
          <w:numId w:val="2"/>
        </w:numPr>
        <w:spacing w:after="50" w:before="50"/>
      </w:pPr>
      <w:r>
        <w:rPr>
          <w:rFonts w:ascii="Arial" w:cs="Arial" w:eastAsia="Arial" w:hAnsi="Arial"/>
          <w:color w:val="1A1A1A"/>
          <w:sz w:val="22"/>
          <w:szCs w:val="22"/>
        </w:rPr>
        <w:t xml:space="preserve">Paiement en ligne par carte CMI pour les honoraires clients</w:t>
      </w:r>
    </w:p>
    <w:p>
      <w:pPr>
        <w:pStyle w:val="ListParagraph"/>
        <w:numPr>
          <w:ilvl w:val="0"/>
          <w:numId w:val="2"/>
        </w:numPr>
        <w:spacing w:after="50" w:before="50"/>
      </w:pPr>
      <w:r>
        <w:rPr>
          <w:rFonts w:ascii="Arial" w:cs="Arial" w:eastAsia="Arial" w:hAnsi="Arial"/>
          <w:color w:val="1A1A1A"/>
          <w:sz w:val="22"/>
          <w:szCs w:val="22"/>
        </w:rPr>
        <w:t xml:space="preserve">Import de données depuis fichiers CSV et Excel (migration depuis les outils existants)</w:t>
      </w:r>
    </w:p>
    <w:p>
      <w:pPr>
        <w:spacing w:after="0" w:before="60"/>
      </w:pPr>
      <w:r>
        <w:t xml:space="preserve"/>
      </w:r>
    </w:p>
    <w:p>
      <w:pPr>
        <w:spacing w:after="40" w:before="40"/>
      </w:pPr>
      <w:r>
        <w:rPr>
          <w:rFonts w:ascii="Arial" w:cs="Arial" w:eastAsia="Arial" w:hAnsi="Arial"/>
          <w:i/>
          <w:iCs/>
          <w:color w:val="4A5568"/>
          <w:sz w:val="20"/>
          <w:szCs w:val="20"/>
        </w:rPr>
        <w:t xml:space="preserve">Critère de succès Phase 2 : churn mensuel inférieur à 4%, NPS supérieur à 45.</w:t>
      </w:r>
    </w:p>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6.5  Phase 3 — Maturité (Mois 16 à 24) — Objectif : 250 clients, ARR 1,5M MAD</w:t>
      </w:r>
    </w:p>
    <w:p>
      <w:pPr>
        <w:pStyle w:val="ListParagraph"/>
        <w:numPr>
          <w:ilvl w:val="0"/>
          <w:numId w:val="2"/>
        </w:numPr>
        <w:spacing w:after="50" w:before="50"/>
      </w:pPr>
      <w:r>
        <w:rPr>
          <w:rFonts w:ascii="Arial" w:cs="Arial" w:eastAsia="Arial" w:hAnsi="Arial"/>
          <w:color w:val="1A1A1A"/>
          <w:sz w:val="22"/>
          <w:szCs w:val="22"/>
        </w:rPr>
        <w:t xml:space="preserve">Application mobile native Android (priorité) et iOS</w:t>
      </w:r>
    </w:p>
    <w:p>
      <w:pPr>
        <w:pStyle w:val="ListParagraph"/>
        <w:numPr>
          <w:ilvl w:val="0"/>
          <w:numId w:val="2"/>
        </w:numPr>
        <w:spacing w:after="50" w:before="50"/>
      </w:pPr>
      <w:r>
        <w:rPr>
          <w:rFonts w:ascii="Arial" w:cs="Arial" w:eastAsia="Arial" w:hAnsi="Arial"/>
          <w:color w:val="1A1A1A"/>
          <w:sz w:val="22"/>
          <w:szCs w:val="22"/>
        </w:rPr>
        <w:t xml:space="preserve">Rapports d'activité automatiques mensuels par cabinet (PDF en arabe)</w:t>
      </w:r>
    </w:p>
    <w:p>
      <w:pPr>
        <w:pStyle w:val="ListParagraph"/>
        <w:numPr>
          <w:ilvl w:val="0"/>
          <w:numId w:val="2"/>
        </w:numPr>
        <w:spacing w:after="50" w:before="50"/>
      </w:pPr>
      <w:r>
        <w:rPr>
          <w:rFonts w:ascii="Arial" w:cs="Arial" w:eastAsia="Arial" w:hAnsi="Arial"/>
          <w:color w:val="1A1A1A"/>
          <w:sz w:val="22"/>
          <w:szCs w:val="22"/>
        </w:rPr>
        <w:t xml:space="preserve">API publique documentée pour intégrations avec logiciels comptables marocains (Sage Maroc, Cegid Maroc)</w:t>
      </w:r>
    </w:p>
    <w:p>
      <w:pPr>
        <w:pStyle w:val="ListParagraph"/>
        <w:numPr>
          <w:ilvl w:val="0"/>
          <w:numId w:val="2"/>
        </w:numPr>
        <w:spacing w:after="50" w:before="50"/>
      </w:pPr>
      <w:r>
        <w:rPr>
          <w:rFonts w:ascii="Arial" w:cs="Arial" w:eastAsia="Arial" w:hAnsi="Arial"/>
          <w:color w:val="1A1A1A"/>
          <w:sz w:val="22"/>
          <w:szCs w:val="22"/>
        </w:rPr>
        <w:t xml:space="preserve">Module spécifique Notaires et Adoul (actes authentiques, registres)</w:t>
      </w:r>
    </w:p>
    <w:p>
      <w:pPr>
        <w:pStyle w:val="ListParagraph"/>
        <w:numPr>
          <w:ilvl w:val="0"/>
          <w:numId w:val="2"/>
        </w:numPr>
        <w:spacing w:after="50" w:before="50"/>
      </w:pPr>
      <w:r>
        <w:rPr>
          <w:rFonts w:ascii="Arial" w:cs="Arial" w:eastAsia="Arial" w:hAnsi="Arial"/>
          <w:color w:val="1A1A1A"/>
          <w:sz w:val="22"/>
          <w:szCs w:val="22"/>
        </w:rPr>
        <w:t xml:space="preserve">Support de l'Amazigh (Tifinagh) — différenciateur pour les régions</w:t>
      </w:r>
    </w:p>
    <w:p>
      <w:pPr>
        <w:pStyle w:val="ListParagraph"/>
        <w:numPr>
          <w:ilvl w:val="0"/>
          <w:numId w:val="2"/>
        </w:numPr>
        <w:spacing w:after="50" w:before="50"/>
      </w:pPr>
      <w:r>
        <w:rPr>
          <w:rFonts w:ascii="Arial" w:cs="Arial" w:eastAsia="Arial" w:hAnsi="Arial"/>
          <w:color w:val="1A1A1A"/>
          <w:sz w:val="22"/>
          <w:szCs w:val="22"/>
        </w:rPr>
        <w:t xml:space="preserve">Programme de partenariat avec les barreaux régionaux</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07</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Modèle Économique — Prix en Dirhams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7.1  Tarification mensuelle en MAD</w:t>
      </w:r>
    </w:p>
    <w:p>
      <w:pPr>
        <w:spacing w:after="60" w:before="60"/>
        <w:jc w:val="both"/>
      </w:pPr>
      <w:r>
        <w:rPr>
          <w:rFonts w:ascii="Arial" w:cs="Arial" w:eastAsia="Arial" w:hAnsi="Arial"/>
          <w:color w:val="1A1A1A"/>
          <w:sz w:val="22"/>
          <w:szCs w:val="22"/>
        </w:rPr>
        <w:t xml:space="preserve">Les prix sont fixés en dirhams marocains, adaptés au pouvoir d'achat des cabinets marocains et compétitifs par rapport aux solutions internationales (Clio à 600 MAD/utilisateur/mois). La facturation annuelle offre 2 mois gratuits.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226"/>
      </w:tblGrid>
      <w:tr>
        <w:trPr>
          <w:tblHeader/>
        </w:trPr>
        <w:tc>
          <w:tcPr>
            <w:tcW w:type="dxa" w:w="16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Prix / cabinet / mois</w:t>
            </w:r>
          </w:p>
        </w:tc>
        <w:tc>
          <w:tcPr>
            <w:tcW w:type="dxa" w:w="22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 d'utilisateurs</w:t>
            </w:r>
          </w:p>
        </w:tc>
        <w:tc>
          <w:tcPr>
            <w:tcW w:type="dxa" w:w="32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qui est inclus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199 MAD / mois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Jusqu'a 3 utilisateurs</w:t>
            </w:r>
          </w:p>
        </w:tc>
        <w:tc>
          <w:tcPr>
            <w:tcW w:type="dxa" w:w="3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Dossiers illimites, documents 10 Go, agenda avec alertes SMS, facturation basique, interface arabe/francais</w:t>
            </w:r>
          </w:p>
        </w:tc>
      </w:tr>
      <w:tr>
        <w:tc>
          <w:tcPr>
            <w:tcW w:type="dxa" w:w="16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Professionnel</w:t>
            </w:r>
          </w:p>
        </w:tc>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499 MAD / mois</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Jusqu'a 10 utilisateurs</w:t>
            </w:r>
          </w:p>
        </w:tc>
        <w:tc>
          <w:tcPr>
            <w:tcW w:type="dxa" w:w="32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Tout Starter + OCR arabe, portail client, recherche full-text, suivi du temps, rapports, 100 Go stockage</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Cabinet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990 MAD / mois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Jusqu'a 25 utilisateurs</w:t>
            </w:r>
          </w:p>
        </w:tc>
        <w:tc>
          <w:tcPr>
            <w:tcW w:type="dxa" w:w="3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Tout Pro + import CSV/Excel, statistiques avancees, 500 Go stockage, support prioritaire telephone</w:t>
            </w:r>
          </w:p>
        </w:tc>
      </w:tr>
      <w:tr>
        <w:tc>
          <w:tcPr>
            <w:tcW w:type="dxa" w:w="16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Sur devis</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Illimite</w:t>
            </w:r>
          </w:p>
        </w:tc>
        <w:tc>
          <w:tcPr>
            <w:tcW w:type="dxa" w:w="32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Tout Cabinet + deploiement dedie, SLA 99,9%, formation sur site, integration comptable, DPO designe</w:t>
            </w:r>
          </w:p>
        </w:tc>
      </w:tr>
    </w:tbl>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7.2  Modes de paiement acceptés</w:t>
      </w:r>
    </w:p>
    <w:p>
      <w:pPr>
        <w:pStyle w:val="ListParagraph"/>
        <w:numPr>
          <w:ilvl w:val="0"/>
          <w:numId w:val="2"/>
        </w:numPr>
        <w:spacing w:after="50" w:before="50"/>
      </w:pPr>
      <w:r>
        <w:rPr>
          <w:rFonts w:ascii="Arial" w:cs="Arial" w:eastAsia="Arial" w:hAnsi="Arial"/>
          <w:color w:val="1A1A1A"/>
          <w:sz w:val="22"/>
          <w:szCs w:val="22"/>
        </w:rPr>
        <w:t xml:space="preserve">Paiement par carte bancaire marocaine (Visa/Mastercard CMI — toutes banques marocaines)</w:t>
      </w:r>
    </w:p>
    <w:p>
      <w:pPr>
        <w:pStyle w:val="ListParagraph"/>
        <w:numPr>
          <w:ilvl w:val="0"/>
          <w:numId w:val="2"/>
        </w:numPr>
        <w:spacing w:after="50" w:before="50"/>
      </w:pPr>
      <w:r>
        <w:rPr>
          <w:rFonts w:ascii="Arial" w:cs="Arial" w:eastAsia="Arial" w:hAnsi="Arial"/>
          <w:color w:val="1A1A1A"/>
          <w:sz w:val="22"/>
          <w:szCs w:val="22"/>
        </w:rPr>
        <w:t xml:space="preserve">Virement bancaire mensuel ou annuel — avec facture émise en MAD (TVA 20% incluse)</w:t>
      </w:r>
    </w:p>
    <w:p>
      <w:pPr>
        <w:pStyle w:val="ListParagraph"/>
        <w:numPr>
          <w:ilvl w:val="0"/>
          <w:numId w:val="2"/>
        </w:numPr>
        <w:spacing w:after="50" w:before="50"/>
      </w:pPr>
      <w:r>
        <w:rPr>
          <w:rFonts w:ascii="Arial" w:cs="Arial" w:eastAsia="Arial" w:hAnsi="Arial"/>
          <w:color w:val="1A1A1A"/>
          <w:sz w:val="22"/>
          <w:szCs w:val="22"/>
        </w:rPr>
        <w:t xml:space="preserve">Paiement en espèces via agent (partenariat possible avec des points de collecte — phase 3)</w:t>
      </w:r>
    </w:p>
    <w:p>
      <w:pPr>
        <w:pStyle w:val="ListParagraph"/>
        <w:numPr>
          <w:ilvl w:val="0"/>
          <w:numId w:val="2"/>
        </w:numPr>
        <w:spacing w:after="50" w:before="50"/>
      </w:pPr>
      <w:r>
        <w:rPr>
          <w:rFonts w:ascii="Arial" w:cs="Arial" w:eastAsia="Arial" w:hAnsi="Arial"/>
          <w:color w:val="1A1A1A"/>
          <w:sz w:val="22"/>
          <w:szCs w:val="22"/>
        </w:rPr>
        <w:t xml:space="preserve">Pas de prélèvement automatique en phase 1 — renouvellement manuel avec rappel SMS 7 jours avant</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7.3  Revenus complémentaires</w:t>
      </w:r>
    </w:p>
    <w:p>
      <w:pPr>
        <w:pStyle w:val="ListParagraph"/>
        <w:numPr>
          <w:ilvl w:val="0"/>
          <w:numId w:val="2"/>
        </w:numPr>
        <w:spacing w:after="50" w:before="50"/>
      </w:pPr>
      <w:r>
        <w:rPr>
          <w:rFonts w:ascii="Arial" w:cs="Arial" w:eastAsia="Arial" w:hAnsi="Arial"/>
          <w:color w:val="1A1A1A"/>
          <w:sz w:val="22"/>
          <w:szCs w:val="22"/>
        </w:rPr>
        <w:t xml:space="preserve">Onboarding et migration : prestation d'accompagnement à la prise en main — 500 à 2 000 MAD selon la taille du cabinet. C'est aussi un service qui justifie le prix de l'abonnement.</w:t>
      </w:r>
    </w:p>
    <w:p>
      <w:pPr>
        <w:pStyle w:val="ListParagraph"/>
        <w:numPr>
          <w:ilvl w:val="0"/>
          <w:numId w:val="2"/>
        </w:numPr>
        <w:spacing w:after="50" w:before="50"/>
      </w:pPr>
      <w:r>
        <w:rPr>
          <w:rFonts w:ascii="Arial" w:cs="Arial" w:eastAsia="Arial" w:hAnsi="Arial"/>
          <w:color w:val="1A1A1A"/>
          <w:sz w:val="22"/>
          <w:szCs w:val="22"/>
        </w:rPr>
        <w:t xml:space="preserve">Formation : sessions de formation en ligne de 2 heures — 300 MAD par session (ou incluse dans l'abonnement Cabinet/Enterprise).</w:t>
      </w:r>
    </w:p>
    <w:p>
      <w:pPr>
        <w:pStyle w:val="ListParagraph"/>
        <w:numPr>
          <w:ilvl w:val="0"/>
          <w:numId w:val="2"/>
        </w:numPr>
        <w:spacing w:after="50" w:before="50"/>
      </w:pPr>
      <w:r>
        <w:rPr>
          <w:rFonts w:ascii="Arial" w:cs="Arial" w:eastAsia="Arial" w:hAnsi="Arial"/>
          <w:color w:val="1A1A1A"/>
          <w:sz w:val="22"/>
          <w:szCs w:val="22"/>
        </w:rPr>
        <w:t xml:space="preserve">Stockage supplémentaire : 50 MAD par tranche de 50 Go supplémentaires par mois.</w:t>
      </w:r>
    </w:p>
    <w:p>
      <w:pPr>
        <w:pStyle w:val="ListParagraph"/>
        <w:numPr>
          <w:ilvl w:val="0"/>
          <w:numId w:val="2"/>
        </w:numPr>
        <w:spacing w:after="50" w:before="50"/>
      </w:pPr>
      <w:r>
        <w:rPr>
          <w:rFonts w:ascii="Arial" w:cs="Arial" w:eastAsia="Arial" w:hAnsi="Arial"/>
          <w:color w:val="1A1A1A"/>
          <w:sz w:val="22"/>
          <w:szCs w:val="22"/>
        </w:rPr>
        <w:t xml:space="preserve">SMS supplémentaires : 50 MAD pour 500 SMS (au-delà du quota inclus selon le plan).</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7.4  Projections financières réalistes</w:t>
      </w:r>
    </w:p>
    <w:p>
      <w:pPr>
        <w:spacing w:after="40" w:before="40"/>
      </w:pPr>
      <w:r>
        <w:rPr>
          <w:rFonts w:ascii="Arial" w:cs="Arial" w:eastAsia="Arial" w:hAnsi="Arial"/>
          <w:i/>
          <w:iCs/>
          <w:color w:val="4A5568"/>
          <w:sz w:val="20"/>
          <w:szCs w:val="20"/>
        </w:rPr>
        <w:t xml:space="preserve">Hypothèses : acquisition de 8 cabinets par mois à partir du mois 6, panier moyen plan Professionnel (499 MAD/mois).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200"/>
        <w:gridCol w:w="2626"/>
      </w:tblGrid>
      <w:tr>
        <w:trPr>
          <w:tblHeader/>
        </w:trPr>
        <w:tc>
          <w:tcPr>
            <w:tcW w:type="dxa" w:w="1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Periode</w:t>
            </w:r>
          </w:p>
        </w:tc>
        <w:tc>
          <w:tcPr>
            <w:tcW w:type="dxa" w:w="18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Clients actifs</w:t>
            </w:r>
          </w:p>
        </w:tc>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MRR (MAD)</w:t>
            </w:r>
          </w:p>
        </w:tc>
        <w:tc>
          <w:tcPr>
            <w:tcW w:type="dxa" w:w="22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 (MAD)</w:t>
            </w:r>
          </w:p>
        </w:tc>
        <w:tc>
          <w:tcPr>
            <w:tcW w:type="dxa" w:w="26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Charges infra / mois</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Mois 6</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cabinets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7 500 MAD</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90 000 MAD</w:t>
            </w:r>
          </w:p>
        </w:tc>
        <w:tc>
          <w:tcPr>
            <w:tcW w:type="dxa" w:w="2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2 000 MAD (VPS + SMS)</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Mois 12</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55 cabinets</w:t>
            </w:r>
          </w:p>
        </w:tc>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27 000 MAD</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324 000 MAD</w:t>
            </w:r>
          </w:p>
        </w:tc>
        <w:tc>
          <w:tcPr>
            <w:tcW w:type="dxa" w:w="2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4 000 MAD</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Mois 18</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130 cabinets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65 000 MAD</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780 000 MAD</w:t>
            </w:r>
          </w:p>
        </w:tc>
        <w:tc>
          <w:tcPr>
            <w:tcW w:type="dxa" w:w="2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8 000 MAD</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Mois 24</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250 cabinets</w:t>
            </w:r>
          </w:p>
        </w:tc>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124 000 MAD</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1 490 000 MAD</w:t>
            </w:r>
          </w:p>
        </w:tc>
        <w:tc>
          <w:tcPr>
            <w:tcW w:type="dxa" w:w="2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15 000 MAD</w:t>
            </w:r>
          </w:p>
        </w:tc>
      </w:tr>
    </w:tbl>
    <w:p>
      <w:pPr>
        <w:spacing w:after="40" w:before="40"/>
      </w:pPr>
      <w:r>
        <w:rPr>
          <w:rFonts w:ascii="Arial" w:cs="Arial" w:eastAsia="Arial" w:hAnsi="Arial"/>
          <w:i/>
          <w:iCs/>
          <w:color w:val="4A5568"/>
          <w:sz w:val="20"/>
          <w:szCs w:val="20"/>
        </w:rPr>
        <w:t xml:space="preserve">Break-even opérationnel (hors salaire fondateur) : atteint dès 30 à 40 cabinets Plan Professionnel. Les projections supposent 1 développeur supplémentaire à partir du mois 8 et 1 commercial à partir du mois 10.</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08</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Qualité, Tests et Performance</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8.1  Stratégie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226"/>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de test</w:t>
            </w:r>
          </w:p>
        </w:tc>
        <w:tc>
          <w:tcPr>
            <w:tcW w:type="dxa" w:w="18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Outil utilise</w:t>
            </w:r>
          </w:p>
        </w:tc>
        <w:tc>
          <w:tcPr>
            <w:tcW w:type="dxa" w:w="3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que ca verifie</w:t>
            </w:r>
          </w:p>
        </w:tc>
        <w:tc>
          <w:tcPr>
            <w:tcW w:type="dxa" w:w="22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Quand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Tests unitaires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Jest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Chaque fonction individuellement — calcul honoraires, generation PDF, validation formulaires</w:t>
            </w:r>
          </w:p>
        </w:tc>
        <w:tc>
          <w:tcPr>
            <w:tcW w:type="dxa" w:w="2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chaque commit Git (automatique)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Tests integration</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Supertest</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API + base de donnees fonctionnent ensemble — creer un dossier, deposer un document</w:t>
            </w:r>
          </w:p>
        </w:tc>
        <w:tc>
          <w:tcPr>
            <w:tcW w:type="dxa" w:w="22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 chaque commit (automatique)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Tests interface (E2E)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Playwright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Scenarios complets dans un vrai navigateur, en arabe RTL et en francais</w:t>
            </w:r>
          </w:p>
        </w:tc>
        <w:tc>
          <w:tcPr>
            <w:tcW w:type="dxa" w:w="2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Avant chaque mise en production</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Test RTL arabe</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Playwright + captures ecran</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Verification de l'affichage correct en arabe sur Chrome, Firefox et Safari mobile</w:t>
            </w:r>
          </w:p>
        </w:tc>
        <w:tc>
          <w:tcPr>
            <w:tcW w:type="dxa" w:w="22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 chaque modification de l'interface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de charge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k6</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 systeme tient 200 utilisateurs simultanes sans ralentissement</w:t>
            </w:r>
          </w:p>
        </w:tc>
        <w:tc>
          <w:tcPr>
            <w:tcW w:type="dxa" w:w="22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Avant les phases majeures</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Test de securite</w:t>
            </w:r>
          </w:p>
        </w:tc>
        <w:tc>
          <w:tcPr>
            <w:tcW w:type="dxa" w:w="1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OWASP ZAP (automatique)</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Detection des failles web courantes (injection SQL, XSS, CSRF)</w:t>
            </w:r>
          </w:p>
        </w:tc>
        <w:tc>
          <w:tcPr>
            <w:tcW w:type="dxa" w:w="22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Mensuel en production</w:t>
            </w:r>
          </w:p>
        </w:tc>
      </w:tr>
    </w:tbl>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8.2  Critères de qualité</w:t>
      </w:r>
    </w:p>
    <w:p>
      <w:pPr>
        <w:pStyle w:val="ListParagraph"/>
        <w:numPr>
          <w:ilvl w:val="0"/>
          <w:numId w:val="2"/>
        </w:numPr>
        <w:spacing w:after="50" w:before="50"/>
      </w:pPr>
      <w:r>
        <w:rPr>
          <w:rFonts w:ascii="Arial" w:cs="Arial" w:eastAsia="Arial" w:hAnsi="Arial"/>
          <w:color w:val="1A1A1A"/>
          <w:sz w:val="22"/>
          <w:szCs w:val="22"/>
        </w:rPr>
        <w:t xml:space="preserve">Couverture de code par les tests : minimum 65% (objectif 80% en Phase 2)</w:t>
      </w:r>
    </w:p>
    <w:p>
      <w:pPr>
        <w:pStyle w:val="ListParagraph"/>
        <w:numPr>
          <w:ilvl w:val="0"/>
          <w:numId w:val="2"/>
        </w:numPr>
        <w:spacing w:after="50" w:before="50"/>
      </w:pPr>
      <w:r>
        <w:rPr>
          <w:rFonts w:ascii="Arial" w:cs="Arial" w:eastAsia="Arial" w:hAnsi="Arial"/>
          <w:color w:val="1A1A1A"/>
          <w:sz w:val="22"/>
          <w:szCs w:val="22"/>
        </w:rPr>
        <w:t xml:space="preserve">Temps de chargement d'une page sur connexion 4G marocaine standard : moins de 3 secondes</w:t>
      </w:r>
    </w:p>
    <w:p>
      <w:pPr>
        <w:pStyle w:val="ListParagraph"/>
        <w:numPr>
          <w:ilvl w:val="0"/>
          <w:numId w:val="2"/>
        </w:numPr>
        <w:spacing w:after="50" w:before="50"/>
      </w:pPr>
      <w:r>
        <w:rPr>
          <w:rFonts w:ascii="Arial" w:cs="Arial" w:eastAsia="Arial" w:hAnsi="Arial"/>
          <w:color w:val="1A1A1A"/>
          <w:sz w:val="22"/>
          <w:szCs w:val="22"/>
        </w:rPr>
        <w:t xml:space="preserve">Fonctionnement correct sur les navigateurs les plus utilisés au Maroc : Chrome 90+, Firefox 88+, Safari iOS 14+</w:t>
      </w:r>
    </w:p>
    <w:p>
      <w:pPr>
        <w:pStyle w:val="ListParagraph"/>
        <w:numPr>
          <w:ilvl w:val="0"/>
          <w:numId w:val="2"/>
        </w:numPr>
        <w:spacing w:after="50" w:before="50"/>
      </w:pPr>
      <w:r>
        <w:rPr>
          <w:rFonts w:ascii="Arial" w:cs="Arial" w:eastAsia="Arial" w:hAnsi="Arial"/>
          <w:color w:val="1A1A1A"/>
          <w:sz w:val="22"/>
          <w:szCs w:val="22"/>
        </w:rPr>
        <w:t xml:space="preserve">Affichage correct sur smartphone Android avec écran 5 à 6 pouces — résolution 720p minimum</w:t>
      </w:r>
    </w:p>
    <w:p>
      <w:pPr>
        <w:pStyle w:val="ListParagraph"/>
        <w:numPr>
          <w:ilvl w:val="0"/>
          <w:numId w:val="2"/>
        </w:numPr>
        <w:spacing w:after="50" w:before="50"/>
      </w:pPr>
      <w:r>
        <w:rPr>
          <w:rFonts w:ascii="Arial" w:cs="Arial" w:eastAsia="Arial" w:hAnsi="Arial"/>
          <w:color w:val="1A1A1A"/>
          <w:sz w:val="22"/>
          <w:szCs w:val="22"/>
        </w:rPr>
        <w:t xml:space="preserve">Disponibilité du service : 99% par mois (moins de 7h d'indisponibilité — réaliste pour un hébergeur VPS)</w:t>
      </w:r>
    </w:p>
    <w:p>
      <w:pPr>
        <w:pStyle w:val="ListParagraph"/>
        <w:numPr>
          <w:ilvl w:val="0"/>
          <w:numId w:val="2"/>
        </w:numPr>
        <w:spacing w:after="50" w:before="50"/>
      </w:pPr>
      <w:r>
        <w:rPr>
          <w:rFonts w:ascii="Arial" w:cs="Arial" w:eastAsia="Arial" w:hAnsi="Arial"/>
          <w:color w:val="1A1A1A"/>
          <w:sz w:val="22"/>
          <w:szCs w:val="22"/>
        </w:rPr>
        <w:t xml:space="preserve">Aucune perte de données en cas de coupure réseau pendant une saisie — sauvegarde locale automatique</w:t>
      </w:r>
    </w:p>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8.3  Environnements de déploiement</w:t>
      </w:r>
    </w:p>
    <w:p>
      <w:pPr>
        <w:pStyle w:val="ListParagraph"/>
        <w:numPr>
          <w:ilvl w:val="0"/>
          <w:numId w:val="2"/>
        </w:numPr>
        <w:spacing w:after="50" w:before="50"/>
      </w:pPr>
      <w:r>
        <w:rPr>
          <w:rFonts w:ascii="Arial" w:cs="Arial" w:eastAsia="Arial" w:hAnsi="Arial"/>
          <w:color w:val="1A1A1A"/>
          <w:sz w:val="22"/>
          <w:szCs w:val="22"/>
        </w:rPr>
        <w:t xml:space="preserve">Local (développement) : chaque développeur travaille sur sa machine avec Docker — base de données locale</w:t>
      </w:r>
    </w:p>
    <w:p>
      <w:pPr>
        <w:pStyle w:val="ListParagraph"/>
        <w:numPr>
          <w:ilvl w:val="0"/>
          <w:numId w:val="2"/>
        </w:numPr>
        <w:spacing w:after="50" w:before="50"/>
      </w:pPr>
      <w:r>
        <w:rPr>
          <w:rFonts w:ascii="Arial" w:cs="Arial" w:eastAsia="Arial" w:hAnsi="Arial"/>
          <w:color w:val="1A1A1A"/>
          <w:sz w:val="22"/>
          <w:szCs w:val="22"/>
        </w:rPr>
        <w:t xml:space="preserve">Staging (pré-production) : serveur identique à la production — toutes les validations se font ici</w:t>
      </w:r>
    </w:p>
    <w:p>
      <w:pPr>
        <w:pStyle w:val="ListParagraph"/>
        <w:numPr>
          <w:ilvl w:val="0"/>
          <w:numId w:val="2"/>
        </w:numPr>
        <w:spacing w:after="50" w:before="50"/>
      </w:pPr>
      <w:r>
        <w:rPr>
          <w:rFonts w:ascii="Arial" w:cs="Arial" w:eastAsia="Arial" w:hAnsi="Arial"/>
          <w:color w:val="1A1A1A"/>
          <w:sz w:val="22"/>
          <w:szCs w:val="22"/>
        </w:rPr>
        <w:t xml:space="preserve">Production : les clients — aucune mise à jour sans validation préalable sur staging</w:t>
      </w:r>
    </w:p>
    <w:p>
      <w:pPr>
        <w:pStyle w:val="ListParagraph"/>
        <w:numPr>
          <w:ilvl w:val="0"/>
          <w:numId w:val="2"/>
        </w:numPr>
        <w:spacing w:after="50" w:before="50"/>
      </w:pPr>
      <w:r>
        <w:rPr>
          <w:rFonts w:ascii="Arial" w:cs="Arial" w:eastAsia="Arial" w:hAnsi="Arial"/>
          <w:color w:val="1A1A1A"/>
          <w:sz w:val="22"/>
          <w:szCs w:val="22"/>
        </w:rPr>
        <w:t xml:space="preserve">Fenêtres de maintenance : le mercredi entre 2h et 4h du matin (heure de Casablanca) — annoncées 48h à l'avance par SMS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09</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Risques et Contraintes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9.1  Contraintes spécifiques au contexte marocain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Contrainte</w:t>
            </w:r>
          </w:p>
        </w:tc>
        <w:tc>
          <w:tcPr>
            <w:tcW w:type="dxa" w:w="3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40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sur le projet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Langue arabe RTL</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L'interface doit fonctionner de droite a gauche — contrainte technique reelle</w:t>
            </w:r>
          </w:p>
        </w:tc>
        <w:tc>
          <w:tcPr>
            <w:tcW w:type="dxa" w:w="4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Choisir des bibliotheques UI compatibles RTL (Material UI RTL, Chakra UI)</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Connexion internet variable</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Zones rurales avec 3G limitee, coupures frequentes dans certaines villes</w:t>
            </w:r>
          </w:p>
        </w:tc>
        <w:tc>
          <w:tcPr>
            <w:tcW w:type="dxa" w:w="4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Application optimisee pour les connexions lentes, cache local pour les listes de dossiers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 mobile dominant</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majorite des avocats utilisent leur smartphone, pas un PC fixe</w:t>
            </w:r>
          </w:p>
        </w:tc>
        <w:tc>
          <w:tcPr>
            <w:tcW w:type="dxa" w:w="4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mobile-first des la Phase 1, taille des boutons adapte au doigt</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Paiement en ligne limite</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Tous les cabinets n'ont pas de carte bancaire — certains preferent le virement ou l'especes</w:t>
            </w:r>
          </w:p>
        </w:tc>
        <w:tc>
          <w:tcPr>
            <w:tcW w:type="dxa" w:w="4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Accepter virement bancaire en plus de la carte CMI des le debut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Confiance dans le cloud</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Certains avocats sont reticents a mettre leurs dossiers 'sur internet'</w:t>
            </w:r>
          </w:p>
        </w:tc>
        <w:tc>
          <w:tcPr>
            <w:tcW w:type="dxa" w:w="4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claire sur la securite, option de sauvegarde locale exportable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Declaration CNDP</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Obligatoire avant tout traitement de donnees personnelles</w:t>
            </w:r>
          </w:p>
        </w:tc>
        <w:tc>
          <w:tcPr>
            <w:tcW w:type="dxa" w:w="4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 faire avant la mise en production — delai administratif a prevoir (4 a 8 semaines)</w:t>
            </w:r>
          </w:p>
        </w:tc>
      </w:tr>
    </w:tbl>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9.2  Risques identifiés et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4126"/>
      </w:tblGrid>
      <w:tr>
        <w:trPr>
          <w:tblHeader/>
        </w:trPr>
        <w:tc>
          <w:tcPr>
            <w:tcW w:type="dxa" w:w="2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Risque</w:t>
            </w:r>
          </w:p>
        </w:tc>
        <w:tc>
          <w:tcPr>
            <w:tcW w:type="dxa" w:w="13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Probabilite</w:t>
            </w:r>
          </w:p>
        </w:tc>
        <w:tc>
          <w:tcPr>
            <w:tcW w:type="dxa" w:w="12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Gravite</w:t>
            </w:r>
          </w:p>
        </w:tc>
        <w:tc>
          <w:tcPr>
            <w:tcW w:type="dxa" w:w="41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Comment y faire face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Adoption lente — avocats peu a l'aise avec le numerique</w:t>
            </w:r>
          </w:p>
        </w:tc>
        <w:tc>
          <w:tcPr>
            <w:tcW w:type="dxa" w:w="1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Elevee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Fort</w:t>
            </w:r>
          </w:p>
        </w:tc>
        <w:tc>
          <w:tcPr>
            <w:tcW w:type="dxa" w:w="41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ultra-simple, demonstration gratuite 30 jours, support telephonique en arabe, formation incluse dans l'onboarding</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Concurrent international entre sur le marche marocain (Clio, MyLegalSuite)</w:t>
            </w:r>
          </w:p>
        </w:tc>
        <w:tc>
          <w:tcPr>
            <w:tcW w:type="dxa" w:w="13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Moyenne</w:t>
            </w:r>
          </w:p>
        </w:tc>
        <w:tc>
          <w:tcPr>
            <w:tcW w:type="dxa" w:w="1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Moyen</w:t>
            </w:r>
          </w:p>
        </w:tc>
        <w:tc>
          <w:tcPr>
            <w:tcW w:type="dxa" w:w="41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Prix 5 a 10 fois moins cher, interface en arabe, support local, adaptation droit marocain — avantages structurels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Panne de l'hebergeur marocain</w:t>
            </w:r>
          </w:p>
        </w:tc>
        <w:tc>
          <w:tcPr>
            <w:tcW w:type="dxa" w:w="1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Moyenne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Fort</w:t>
            </w:r>
          </w:p>
        </w:tc>
        <w:tc>
          <w:tcPr>
            <w:tcW w:type="dxa" w:w="41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Sauvegardes hors-site, possibilite de bascule vers OVH Europe en 4h, SLA hebergeur verifie avant signature</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Probleme de sécurité — fuite de données</w:t>
            </w:r>
          </w:p>
        </w:tc>
        <w:tc>
          <w:tcPr>
            <w:tcW w:type="dxa" w:w="13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Faible</w:t>
            </w:r>
          </w:p>
        </w:tc>
        <w:tc>
          <w:tcPr>
            <w:tcW w:type="dxa" w:w="1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Critique</w:t>
            </w:r>
          </w:p>
        </w:tc>
        <w:tc>
          <w:tcPr>
            <w:tcW w:type="dxa" w:w="41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Chiffrement, audits, assurance responsabilite civile professionnelle obligatoire, plan de communication de crise prepare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 du developpeur principal</w:t>
            </w:r>
          </w:p>
        </w:tc>
        <w:tc>
          <w:tcPr>
            <w:tcW w:type="dxa" w:w="13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Faible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Fort</w:t>
            </w:r>
          </w:p>
        </w:tc>
        <w:tc>
          <w:tcPr>
            <w:tcW w:type="dxa" w:w="41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Documentation technique complete, tests couvrant les fonctions critiques, formation d'un second developpeur des Phase 2</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Rejet de la declaration CNDP</w:t>
            </w:r>
          </w:p>
        </w:tc>
        <w:tc>
          <w:tcPr>
            <w:tcW w:type="dxa" w:w="13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Faible</w:t>
            </w:r>
          </w:p>
        </w:tc>
        <w:tc>
          <w:tcPr>
            <w:tcW w:type="dxa" w:w="1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Fort</w:t>
            </w:r>
          </w:p>
        </w:tc>
        <w:tc>
          <w:tcPr>
            <w:tcW w:type="dxa" w:w="41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Consulter un juriste specialise loi 09-08 en amont, preparer le dossier 2 mois avant la mise en production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10</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Équipe et Partenariats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10.1  Équipe cible par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26"/>
        <w:gridCol w:w="2400"/>
      </w:tblGrid>
      <w:tr>
        <w:trPr>
          <w:tblHeader/>
        </w:trPr>
        <w:tc>
          <w:tcPr>
            <w:tcW w:type="dxa" w:w="1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c>
          <w:tcPr>
            <w:tcW w:type="dxa" w:w="28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0-1</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Ingenieur SI (fondateur)</w:t>
            </w:r>
          </w:p>
        </w:tc>
        <w:tc>
          <w:tcPr>
            <w:tcW w:type="dxa" w:w="2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Architecture technique, backend, DevOps, gestion produit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Fondateur — temps plein</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Developpeur Frontend (React + RTL arabe)</w:t>
            </w:r>
          </w:p>
        </w:tc>
        <w:tc>
          <w:tcPr>
            <w:tcW w:type="dxa" w:w="28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Interface utilisateur, support arabe RTL, integration API</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Employe ou freelance Maroc</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Conseiller metier avocat</w:t>
            </w:r>
          </w:p>
        </w:tc>
        <w:tc>
          <w:tcPr>
            <w:tcW w:type="dxa" w:w="2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Valide les fonctionnalites, teste l'UX, ouvre son reseau</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Partenariat ou actionnaire minoritaire</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Developpeur Backend (Node.js + PostgreSQL)</w:t>
            </w:r>
          </w:p>
        </w:tc>
        <w:tc>
          <w:tcPr>
            <w:tcW w:type="dxa" w:w="28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API, OCR, performance, securite</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Employe</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Commercial / Customer Success (bilingue FR/AR)</w:t>
            </w:r>
          </w:p>
        </w:tc>
        <w:tc>
          <w:tcPr>
            <w:tcW w:type="dxa" w:w="2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Demos, onboarding, support clients, partenariats barreaux</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 — profil juridique ou commercial</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Developpeur Mobile (React Native)</w:t>
            </w:r>
          </w:p>
        </w:tc>
        <w:tc>
          <w:tcPr>
            <w:tcW w:type="dxa" w:w="28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Application iOS et Android</w:t>
            </w:r>
          </w:p>
        </w:tc>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Freelance ou employe</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Responsable Marketing (digital + terrain)</w:t>
            </w:r>
          </w:p>
        </w:tc>
        <w:tc>
          <w:tcPr>
            <w:tcW w:type="dxa" w:w="28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Reseaux sociaux, evenements barreaux, contenu arabe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w:t>
            </w:r>
          </w:p>
        </w:tc>
      </w:tr>
    </w:tbl>
    <w:p>
      <w:pPr>
        <w:spacing w:after="0" w:before="10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10.2  Partenariats stratégiques — Spécifiques au Maroc</w:t>
      </w:r>
    </w:p>
    <w:p>
      <w:pPr>
        <w:pStyle w:val="Heading3"/>
        <w:spacing w:after="80" w:before="200"/>
      </w:pPr>
      <w:r>
        <w:rPr>
          <w:rFonts w:ascii="Arial" w:cs="Arial" w:eastAsia="Arial" w:hAnsi="Arial"/>
          <w:b/>
          <w:bCs/>
          <w:color w:val="C1121F"/>
          <w:sz w:val="22"/>
          <w:szCs w:val="22"/>
        </w:rPr>
        <w:t xml:space="preserve">Barreaux régionaux</w:t>
      </w:r>
    </w:p>
    <w:p>
      <w:pPr>
        <w:pStyle w:val="ListParagraph"/>
        <w:numPr>
          <w:ilvl w:val="0"/>
          <w:numId w:val="2"/>
        </w:numPr>
        <w:spacing w:after="50" w:before="50"/>
      </w:pPr>
      <w:r>
        <w:rPr>
          <w:rFonts w:ascii="Arial" w:cs="Arial" w:eastAsia="Arial" w:hAnsi="Arial"/>
          <w:color w:val="1A1A1A"/>
          <w:sz w:val="22"/>
          <w:szCs w:val="22"/>
        </w:rPr>
        <w:t xml:space="preserve">Barreaux de Casablanca (plus de 8 000 avocats inscrits), Rabat, Marrakech, Fès, Agadir, Tanger : accord de partenariat pour présenter le produit lors des assemblées générales ou journées de formation continue.</w:t>
      </w:r>
    </w:p>
    <w:p>
      <w:pPr>
        <w:pStyle w:val="ListParagraph"/>
        <w:numPr>
          <w:ilvl w:val="0"/>
          <w:numId w:val="2"/>
        </w:numPr>
        <w:spacing w:after="50" w:before="50"/>
      </w:pPr>
      <w:r>
        <w:rPr>
          <w:rFonts w:ascii="Arial" w:cs="Arial" w:eastAsia="Arial" w:hAnsi="Arial"/>
          <w:color w:val="1A1A1A"/>
          <w:sz w:val="22"/>
          <w:szCs w:val="22"/>
        </w:rPr>
        <w:t xml:space="preserve">Objectif : accréditation officielle du logiciel par 2 ou 3 barreaux dès la Phase 2 — gage de crédibilité majeur.</w:t>
      </w:r>
    </w:p>
    <w:p>
      <w:pPr>
        <w:spacing w:after="0" w:before="60"/>
      </w:pPr>
      <w:r>
        <w:t xml:space="preserve"/>
      </w:r>
    </w:p>
    <w:p>
      <w:pPr>
        <w:pStyle w:val="Heading3"/>
        <w:spacing w:after="80" w:before="200"/>
      </w:pPr>
      <w:r>
        <w:rPr>
          <w:rFonts w:ascii="Arial" w:cs="Arial" w:eastAsia="Arial" w:hAnsi="Arial"/>
          <w:b/>
          <w:bCs/>
          <w:color w:val="C1121F"/>
          <w:sz w:val="22"/>
          <w:szCs w:val="22"/>
        </w:rPr>
        <w:t xml:space="preserve">Ministère de la Justice</w:t>
      </w:r>
    </w:p>
    <w:p>
      <w:pPr>
        <w:pStyle w:val="ListParagraph"/>
        <w:numPr>
          <w:ilvl w:val="0"/>
          <w:numId w:val="2"/>
        </w:numPr>
        <w:spacing w:after="50" w:before="50"/>
      </w:pPr>
      <w:r>
        <w:rPr>
          <w:rFonts w:ascii="Arial" w:cs="Arial" w:eastAsia="Arial" w:hAnsi="Arial"/>
          <w:color w:val="1A1A1A"/>
          <w:sz w:val="22"/>
          <w:szCs w:val="22"/>
        </w:rPr>
        <w:t xml:space="preserve">Surveiller les appels d'offres du Ministère de la Justice pour la digitalisation des cabinets — opportunité marché public Phase 3.</w:t>
      </w:r>
    </w:p>
    <w:p>
      <w:pPr>
        <w:pStyle w:val="ListParagraph"/>
        <w:numPr>
          <w:ilvl w:val="0"/>
          <w:numId w:val="2"/>
        </w:numPr>
        <w:spacing w:after="50" w:before="50"/>
      </w:pPr>
      <w:r>
        <w:rPr>
          <w:rFonts w:ascii="Arial" w:cs="Arial" w:eastAsia="Arial" w:hAnsi="Arial"/>
          <w:color w:val="1A1A1A"/>
          <w:sz w:val="22"/>
          <w:szCs w:val="22"/>
        </w:rPr>
        <w:t xml:space="preserve">Participer aux groupes de travail e-justice pour être positionné comme acteur de référence.</w:t>
      </w:r>
    </w:p>
    <w:p>
      <w:pPr>
        <w:spacing w:after="0" w:before="60"/>
      </w:pPr>
      <w:r>
        <w:t xml:space="preserve"/>
      </w:r>
    </w:p>
    <w:p>
      <w:pPr>
        <w:pStyle w:val="Heading3"/>
        <w:spacing w:after="80" w:before="200"/>
      </w:pPr>
      <w:r>
        <w:rPr>
          <w:rFonts w:ascii="Arial" w:cs="Arial" w:eastAsia="Arial" w:hAnsi="Arial"/>
          <w:b/>
          <w:bCs/>
          <w:color w:val="C1121F"/>
          <w:sz w:val="22"/>
          <w:szCs w:val="22"/>
        </w:rPr>
        <w:t xml:space="preserve">Établissements de formation juridique</w:t>
      </w:r>
    </w:p>
    <w:p>
      <w:pPr>
        <w:pStyle w:val="ListParagraph"/>
        <w:numPr>
          <w:ilvl w:val="0"/>
          <w:numId w:val="2"/>
        </w:numPr>
        <w:spacing w:after="50" w:before="50"/>
      </w:pPr>
      <w:r>
        <w:rPr>
          <w:rFonts w:ascii="Arial" w:cs="Arial" w:eastAsia="Arial" w:hAnsi="Arial"/>
          <w:color w:val="1A1A1A"/>
          <w:sz w:val="22"/>
          <w:szCs w:val="22"/>
        </w:rPr>
        <w:t xml:space="preserve">Université Mohammed V (Rabat), Université Hassan II (Casablanca), Centre de Formation des Avocats : offrir le produit gratuitement aux étudiants en formation — pipeline d'adoption futur.</w:t>
      </w:r>
    </w:p>
    <w:p>
      <w:pPr>
        <w:spacing w:after="0" w:before="60"/>
      </w:pPr>
      <w:r>
        <w:t xml:space="preserve"/>
      </w:r>
    </w:p>
    <w:p>
      <w:pPr>
        <w:pStyle w:val="Heading3"/>
        <w:spacing w:after="80" w:before="200"/>
      </w:pPr>
      <w:r>
        <w:rPr>
          <w:rFonts w:ascii="Arial" w:cs="Arial" w:eastAsia="Arial" w:hAnsi="Arial"/>
          <w:b/>
          <w:bCs/>
          <w:color w:val="C1121F"/>
          <w:sz w:val="22"/>
          <w:szCs w:val="22"/>
        </w:rPr>
        <w:t xml:space="preserve">Partenaires techniques</w:t>
      </w:r>
    </w:p>
    <w:p>
      <w:pPr>
        <w:pStyle w:val="ListParagraph"/>
        <w:numPr>
          <w:ilvl w:val="0"/>
          <w:numId w:val="2"/>
        </w:numPr>
        <w:spacing w:after="50" w:before="50"/>
      </w:pPr>
      <w:r>
        <w:rPr>
          <w:rFonts w:ascii="Arial" w:cs="Arial" w:eastAsia="Arial" w:hAnsi="Arial"/>
          <w:color w:val="1A1A1A"/>
          <w:sz w:val="22"/>
          <w:szCs w:val="22"/>
        </w:rPr>
        <w:t xml:space="preserve">Inwi ou Maroc Telecom : partenariat SMS pour les alertes et OTP à tarif préférentiel.</w:t>
      </w:r>
    </w:p>
    <w:p>
      <w:pPr>
        <w:pStyle w:val="ListParagraph"/>
        <w:numPr>
          <w:ilvl w:val="0"/>
          <w:numId w:val="2"/>
        </w:numPr>
        <w:spacing w:after="50" w:before="50"/>
      </w:pPr>
      <w:r>
        <w:rPr>
          <w:rFonts w:ascii="Arial" w:cs="Arial" w:eastAsia="Arial" w:hAnsi="Arial"/>
          <w:color w:val="1A1A1A"/>
          <w:sz w:val="22"/>
          <w:szCs w:val="22"/>
        </w:rPr>
        <w:t xml:space="preserve">CMI (Centre Monétique Interbancaire) : intégration du paiement en ligne par carte bancaire marocaine.</w:t>
      </w:r>
    </w:p>
    <w:p>
      <w:pPr>
        <w:pStyle w:val="ListParagraph"/>
        <w:numPr>
          <w:ilvl w:val="0"/>
          <w:numId w:val="2"/>
        </w:numPr>
        <w:spacing w:after="50" w:before="50"/>
      </w:pPr>
      <w:r>
        <w:rPr>
          <w:rFonts w:ascii="Arial" w:cs="Arial" w:eastAsia="Arial" w:hAnsi="Arial"/>
          <w:color w:val="1A1A1A"/>
          <w:sz w:val="22"/>
          <w:szCs w:val="22"/>
        </w:rPr>
        <w:t xml:space="preserve">Sage Maroc / Cegid Maroc : intégration comptable en Phase 3 — les cabinets exportent vers leur logiciel comptable.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11</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Critères de Succès et KPIs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11.1  KPIs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700"/>
        <w:gridCol w:w="1926"/>
      </w:tblGrid>
      <w:tr>
        <w:trPr>
          <w:tblHeader/>
        </w:trPr>
        <w:tc>
          <w:tcPr>
            <w:tcW w:type="dxa" w:w="2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3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 simple</w:t>
            </w:r>
          </w:p>
        </w:tc>
        <w:tc>
          <w:tcPr>
            <w:tcW w:type="dxa" w:w="17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 Phase 1</w:t>
            </w:r>
          </w:p>
        </w:tc>
        <w:tc>
          <w:tcPr>
            <w:tcW w:type="dxa" w:w="19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 Phase 3</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Activation</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utilisateurs qui creent leur 1er dossier dans les 7 jours apres inscription</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65%</w:t>
            </w:r>
          </w:p>
        </w:tc>
        <w:tc>
          <w:tcPr>
            <w:tcW w:type="dxa" w:w="19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80%</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Retention mensuelle</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 cabinets toujours abonnes 30 jours apres le debut</w:t>
            </w:r>
          </w:p>
        </w:tc>
        <w:tc>
          <w:tcPr>
            <w:tcW w:type="dxa" w:w="17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&gt; 80%</w:t>
            </w:r>
          </w:p>
        </w:tc>
        <w:tc>
          <w:tcPr>
            <w:tcW w:type="dxa" w:w="19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&gt; 90%</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NPS (satisfaction)</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 de recommandation — 'Conseilleriez-vous ce produit a un confrere ?' (de -100 a +100)</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35</w:t>
            </w:r>
          </w:p>
        </w:tc>
        <w:tc>
          <w:tcPr>
            <w:tcW w:type="dxa" w:w="19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50</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Temps de prise en main</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Temps pour qu'un nouvel utilisateur cree son 1er dossier sans aide</w:t>
            </w:r>
          </w:p>
        </w:tc>
        <w:tc>
          <w:tcPr>
            <w:tcW w:type="dxa" w:w="17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&lt; 20 minutes</w:t>
            </w:r>
          </w:p>
        </w:tc>
        <w:tc>
          <w:tcPr>
            <w:tcW w:type="dxa" w:w="19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&lt; 10 minutes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Disponibilite</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du temps ou le service est accessible</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99%</w:t>
            </w:r>
          </w:p>
        </w:tc>
        <w:tc>
          <w:tcPr>
            <w:tcW w:type="dxa" w:w="19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99,5%</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Support RTL</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 ecrans correctement affiches en arabe RTL sans bug visuel</w:t>
            </w:r>
          </w:p>
        </w:tc>
        <w:tc>
          <w:tcPr>
            <w:tcW w:type="dxa" w:w="17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9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100%</w:t>
            </w:r>
          </w:p>
        </w:tc>
      </w:tr>
    </w:tbl>
    <w:p>
      <w:pPr>
        <w:spacing w:after="0" w:before="8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11.2  KPIs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00"/>
        <w:gridCol w:w="2126"/>
      </w:tblGrid>
      <w:tr>
        <w:trPr>
          <w:tblHeader/>
        </w:trPr>
        <w:tc>
          <w:tcPr>
            <w:tcW w:type="dxa" w:w="2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28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17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 Mois 12</w:t>
            </w:r>
          </w:p>
        </w:tc>
        <w:tc>
          <w:tcPr>
            <w:tcW w:type="dxa" w:w="21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Cible Mois 24</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MRR (revenus mensuels)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Somme des abonnements mensuels en MAD</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27 000 MAD</w:t>
            </w:r>
          </w:p>
        </w:tc>
        <w:tc>
          <w:tcPr>
            <w:tcW w:type="dxa" w:w="21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124 000 MAD</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Churn mensuel</w:t>
            </w:r>
          </w:p>
        </w:tc>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 cabinets qui resilient chaque mois</w:t>
            </w:r>
          </w:p>
        </w:tc>
        <w:tc>
          <w:tcPr>
            <w:tcW w:type="dxa" w:w="17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&lt; 4%</w:t>
            </w:r>
          </w:p>
        </w:tc>
        <w:tc>
          <w:tcPr>
            <w:tcW w:type="dxa" w:w="21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&lt; 2,5%</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 (cout acquisition)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Budget marketing + commercial divise par nb nouveaux clients</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400 MAD</w:t>
            </w:r>
          </w:p>
        </w:tc>
        <w:tc>
          <w:tcPr>
            <w:tcW w:type="dxa" w:w="21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250 MAD</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LTV (valeur vie client)</w:t>
            </w:r>
          </w:p>
        </w:tc>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Revenus generes par un cabinet sur toute sa duree de vie</w:t>
            </w:r>
          </w:p>
        </w:tc>
        <w:tc>
          <w:tcPr>
            <w:tcW w:type="dxa" w:w="17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&gt; 5 000 MAD</w:t>
            </w:r>
          </w:p>
        </w:tc>
        <w:tc>
          <w:tcPr>
            <w:tcW w:type="dxa" w:w="21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&gt; 10 000 MAD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Ratio LTV / CAC</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Rentabilite du modele d'acquisition — doit etre &gt; 3</w:t>
            </w:r>
          </w:p>
        </w:tc>
        <w:tc>
          <w:tcPr>
            <w:tcW w:type="dxa" w:w="1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3x</w:t>
            </w:r>
          </w:p>
        </w:tc>
        <w:tc>
          <w:tcPr>
            <w:tcW w:type="dxa" w:w="21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5x</w:t>
            </w:r>
          </w:p>
        </w:tc>
      </w:tr>
      <w:tr>
        <w:tc>
          <w:tcPr>
            <w:tcW w:type="dxa" w:w="2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Part de marche</w:t>
            </w:r>
          </w:p>
        </w:tc>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 des cabinets marocains equipes de notre solution</w:t>
            </w:r>
          </w:p>
        </w:tc>
        <w:tc>
          <w:tcPr>
            <w:tcW w:type="dxa" w:w="17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0,3%</w:t>
            </w:r>
          </w:p>
        </w:tc>
        <w:tc>
          <w:tcPr>
            <w:tcW w:type="dxa" w:w="21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1,5%</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il" w:color="FFFFFF" w:sz="0"/>
              <w:left w:val="nil" w:color="FFFFFF" w:sz="0"/>
              <w:bottom w:val="nil" w:color="FFFFFF" w:sz="0"/>
              <w:right w:val="nil" w:color="FFFFFF" w:sz="0"/>
            </w:tcBorders>
            <w:shd w:fill="C1121F"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12</w:t>
            </w:r>
          </w:p>
        </w:tc>
        <w:tc>
          <w:tcPr>
            <w:tcW w:type="dxa" w:w="8126"/>
            <w:tcBorders>
              <w:top w:val="nil" w:color="FFFFFF" w:sz="0"/>
              <w:left w:val="nil" w:color="FFFFFF" w:sz="0"/>
              <w:bottom w:val="nil" w:color="FFFFFF" w:sz="0"/>
              <w:right w:val="nil" w:color="FFFFFF" w:sz="0"/>
            </w:tcBorders>
            <w:shd w:fill="006233" w:val="clear"/>
            <w:tcMar>
              <w:top w:type="dxa" w:w="120"/>
              <w:left w:type="dxa" w:w="200"/>
              <w:bottom w:type="dxa" w:w="120"/>
              <w:right w:type="dxa" w:w="160"/>
            </w:tcMar>
            <w:vAlign w:val="center"/>
          </w:tcPr>
          <w:p>
            <w:r>
              <w:rPr>
                <w:rFonts w:ascii="Arial" w:cs="Arial" w:eastAsia="Arial" w:hAnsi="Arial"/>
                <w:b/>
                <w:bCs/>
                <w:color w:val="FFFFFF"/>
                <w:sz w:val="28"/>
                <w:szCs w:val="28"/>
              </w:rPr>
              <w:t xml:space="preserve">Annexes</w:t>
            </w:r>
          </w:p>
        </w:tc>
      </w:tr>
    </w:tbl>
    <w:p>
      <w:pPr>
        <w:spacing w:after="0" w:before="16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Annexe A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Terme</w:t>
            </w:r>
          </w:p>
        </w:tc>
        <w:tc>
          <w:tcPr>
            <w:tcW w:type="dxa" w:w="70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SaaS</w:t>
            </w:r>
          </w:p>
        </w:tc>
        <w:tc>
          <w:tcPr>
            <w:tcW w:type="dxa" w:w="7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Software as a Service — logiciel accessible via internet, sans installation, paye par abonnement mensuel</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Multi-tenant</w:t>
            </w:r>
          </w:p>
        </w:tc>
        <w:tc>
          <w:tcPr>
            <w:tcW w:type="dxa" w:w="7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Une seule installation du logiciel sert plusieurs cabinets differents, chacun isole de l'autre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RTL</w:t>
            </w:r>
          </w:p>
        </w:tc>
        <w:tc>
          <w:tcPr>
            <w:tcW w:type="dxa" w:w="7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Right-to-Left — ecriture de droite a gauche, specifique a la langue arabe et au persan</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CNDP</w:t>
            </w:r>
          </w:p>
        </w:tc>
        <w:tc>
          <w:tcPr>
            <w:tcW w:type="dxa" w:w="7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Commission Nationale de controle de la protection des Donnees a caractere Personnel — autorite marocaine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Loi 09-08</w:t>
            </w:r>
          </w:p>
        </w:tc>
        <w:tc>
          <w:tcPr>
            <w:tcW w:type="dxa" w:w="7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Loi marocaine relative a la protection des personnes physiques a l'egard des traitements de donnees</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CMI</w:t>
            </w:r>
          </w:p>
        </w:tc>
        <w:tc>
          <w:tcPr>
            <w:tcW w:type="dxa" w:w="7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Centre Monetique Interbancaire — organisme marocain qui gere les paiements par carte bancaire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w:t>
            </w:r>
          </w:p>
        </w:tc>
        <w:tc>
          <w:tcPr>
            <w:tcW w:type="dxa" w:w="7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Optical Character Recognition — technologie qui convertit une image de texte (scan) en texte numerique recherchable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OTP</w:t>
            </w:r>
          </w:p>
        </w:tc>
        <w:tc>
          <w:tcPr>
            <w:tcW w:type="dxa" w:w="7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One Time Password — code usage unique envoye par SMS pour confirmer une connexion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MRR / ARR</w:t>
            </w:r>
          </w:p>
        </w:tc>
        <w:tc>
          <w:tcPr>
            <w:tcW w:type="dxa" w:w="7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Monthly/Annual Recurring Revenue — revenus recurrents mensuels ou annuels generes par les abonnements</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NPS</w:t>
            </w:r>
          </w:p>
        </w:tc>
        <w:tc>
          <w:tcPr>
            <w:tcW w:type="dxa" w:w="7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Net Promoter Score — indicateur de satisfaction client de -100 a +100</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Churn</w:t>
            </w:r>
          </w:p>
        </w:tc>
        <w:tc>
          <w:tcPr>
            <w:tcW w:type="dxa" w:w="7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Taux de resiliation — % de clients qui quittent le service sur une periode donnee</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TPI</w:t>
            </w:r>
          </w:p>
        </w:tc>
        <w:tc>
          <w:tcPr>
            <w:tcW w:type="dxa" w:w="70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Tribunal de Premiere Instance — juridiction de base au Maroc</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Adoul</w:t>
            </w:r>
          </w:p>
        </w:tc>
        <w:tc>
          <w:tcPr>
            <w:tcW w:type="dxa" w:w="70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Notaires islamiques au Maroc, competents pour les actes de statut personnel</w:t>
            </w:r>
          </w:p>
        </w:tc>
      </w:tr>
    </w:tbl>
    <w:p>
      <w:pPr>
        <w:spacing w:after="0" w:before="12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Annexe B — Analyse des concurrents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426"/>
      </w:tblGrid>
      <w:tr>
        <w:trPr>
          <w:tblHeader/>
        </w:trPr>
        <w:tc>
          <w:tcPr>
            <w:tcW w:type="dxa" w:w="2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Concurrent</w:t>
            </w:r>
          </w:p>
        </w:tc>
        <w:tc>
          <w:tcPr>
            <w:tcW w:type="dxa" w:w="1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Origine</w:t>
            </w:r>
          </w:p>
        </w:tc>
        <w:tc>
          <w:tcPr>
            <w:tcW w:type="dxa" w:w="22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 forts</w:t>
            </w:r>
          </w:p>
        </w:tc>
        <w:tc>
          <w:tcPr>
            <w:tcW w:type="dxa" w:w="34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Pourquoi MiZan gagne au Maroc</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Clio</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Canada</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moderne, ecosysteme riche, API complete</w:t>
            </w:r>
          </w:p>
        </w:tc>
        <w:tc>
          <w:tcPr>
            <w:tcW w:type="dxa" w:w="34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 en arabe, pas adapte droit marocain, 600 MAD/user — 3x plus cher</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MyLegalSuite</w:t>
            </w:r>
          </w:p>
        </w:tc>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France</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Adapte droit francais, interface correcte</w:t>
            </w:r>
          </w:p>
        </w:tc>
        <w:tc>
          <w:tcPr>
            <w:tcW w:type="dxa" w:w="34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Pas en arabe, pas adapte procedures marocaines, prix en EUR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Jarvis Legal</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France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UX moderne, prix abordable</w:t>
            </w:r>
          </w:p>
        </w:tc>
        <w:tc>
          <w:tcPr>
            <w:tcW w:type="dxa" w:w="34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 en arabe, pas de portail client, prix EUR</w:t>
            </w:r>
          </w:p>
        </w:tc>
      </w:tr>
      <w:tr>
        <w:tc>
          <w:tcPr>
            <w:tcW w:type="dxa" w:w="2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Aucun concurrent local serieux identifie</w:t>
            </w:r>
          </w:p>
        </w:tc>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Maroc</w:t>
            </w:r>
          </w:p>
        </w:tc>
        <w:tc>
          <w:tcPr>
            <w:tcW w:type="dxa" w:w="22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4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Opportunite reelle — le marche marocain est non occupe</w:t>
            </w:r>
          </w:p>
        </w:tc>
      </w:tr>
    </w:tbl>
    <w:p>
      <w:pPr>
        <w:spacing w:after="0" w:before="12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Annexe C — Juridictions marocaines supportées en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Juridiction</w:t>
            </w:r>
          </w:p>
        </w:tc>
        <w:tc>
          <w:tcPr>
            <w:tcW w:type="dxa" w:w="28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de contentieux</w:t>
            </w:r>
          </w:p>
        </w:tc>
        <w:tc>
          <w:tcPr>
            <w:tcW w:type="dxa" w:w="34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Villes principales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Tribunal de Premiere Instance (TPI)</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Civil, penal, statut personnel, foncier</w:t>
            </w:r>
          </w:p>
        </w:tc>
        <w:tc>
          <w:tcPr>
            <w:tcW w:type="dxa" w:w="34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Toutes les villes</w:t>
            </w:r>
          </w:p>
        </w:tc>
      </w:tr>
      <w:tr>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Tribunal de Commerce</w:t>
            </w:r>
          </w:p>
        </w:tc>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Litiges commerciaux, faillites</w:t>
            </w:r>
          </w:p>
        </w:tc>
        <w:tc>
          <w:tcPr>
            <w:tcW w:type="dxa" w:w="34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Casablanca, Rabat, Fes, Marrakech, Agadir, Tanger, Oujda, Beni Mellal, Meknes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Tribunal Administratif</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Litiges avec l'administration</w:t>
            </w:r>
          </w:p>
        </w:tc>
        <w:tc>
          <w:tcPr>
            <w:tcW w:type="dxa" w:w="34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Rabat, Casablanca, Fes, Marrakech, Agadir, Tanger, Oujda, Beni Mellal, Meknes</w:t>
            </w:r>
          </w:p>
        </w:tc>
      </w:tr>
      <w:tr>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Cour d'Appel</w:t>
            </w:r>
          </w:p>
        </w:tc>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Appels des jugements TPI et Tribunal de Commerce</w:t>
            </w:r>
          </w:p>
        </w:tc>
        <w:tc>
          <w:tcPr>
            <w:tcW w:type="dxa" w:w="34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Casablanca, Rabat, Fes, Marrakech, Agadir, Tanger, Oujda, Meknes, El Jadida</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Cour d'Appel de Commerce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Appels des Tribunaux de Commerce</w:t>
            </w:r>
          </w:p>
        </w:tc>
        <w:tc>
          <w:tcPr>
            <w:tcW w:type="dxa" w:w="34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Casablanca, Fes, Marrakech</w:t>
            </w:r>
          </w:p>
        </w:tc>
      </w:tr>
      <w:tr>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Cour Suprême (Cour de Cassation)</w:t>
            </w:r>
          </w:p>
        </w:tc>
        <w:tc>
          <w:tcPr>
            <w:tcW w:type="dxa" w:w="28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Pourvois en cassation</w:t>
            </w:r>
          </w:p>
        </w:tc>
        <w:tc>
          <w:tcPr>
            <w:tcW w:type="dxa" w:w="34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Rabat uniquement</w:t>
            </w:r>
          </w:p>
        </w:tc>
      </w:tr>
    </w:tbl>
    <w:p>
      <w:pPr>
        <w:spacing w:after="0" w:before="120"/>
      </w:pPr>
      <w:r>
        <w:t xml:space="preserve"/>
      </w:r>
    </w:p>
    <w:p>
      <w:pPr>
        <w:pStyle w:val="Heading2"/>
        <w:pBdr>
          <w:bottom w:val="single" w:color="006233" w:sz="8" w:space="1"/>
        </w:pBdr>
        <w:spacing w:after="120" w:before="300"/>
      </w:pPr>
      <w:r>
        <w:rPr>
          <w:rFonts w:ascii="Arial" w:cs="Arial" w:eastAsia="Arial" w:hAnsi="Arial"/>
          <w:b/>
          <w:bCs/>
          <w:color w:val="006233"/>
          <w:sz w:val="26"/>
          <w:szCs w:val="26"/>
        </w:rPr>
        <w:t xml:space="preserve">Annexe D — Livrables par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000"/>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Livrable</w:t>
            </w:r>
          </w:p>
        </w:tc>
        <w:tc>
          <w:tcPr>
            <w:tcW w:type="dxa" w:w="4626"/>
            <w:tcBorders>
              <w:top w:val="single" w:color="D0D5DD" w:sz="1"/>
              <w:left w:val="single" w:color="D0D5DD" w:sz="1"/>
              <w:bottom w:val="single" w:color="D0D5DD" w:sz="1"/>
              <w:right w:val="single" w:color="D0D5DD" w:sz="1"/>
            </w:tcBorders>
            <w:shd w:fill="0062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Critere d'acceptation</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0</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Declaration CNDP deposee</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Recepisee de la CNDP en main</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Phase 0</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Maquettes valides (Figma)</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5 avocats marocains valident l'UX en arabe lors d'un test utilisateur</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0</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Environnement technique operationnel</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Deploiement automatique d'une version de test via GitHub Actions</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MVP en production</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15 cabinets utilisent le produit 60 jours sans resilier</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arabe RTL complete</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Tous les ecrans s'affichent correctement en arabe sur Chrome, Firefox et Safari mobile</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OCR arabe operationnel</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Un document PDF scan de 10 pages en arabe est indexe et recherchable en moins de 2 minutes</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Paiement CMI integre</w:t>
            </w:r>
          </w:p>
        </w:tc>
        <w:tc>
          <w:tcPr>
            <w:tcW w:type="dxa" w:w="4626"/>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 cabinet peut renouveler son abonnement par carte CIH, Attijariwafa ou BMCE</w:t>
            </w:r>
          </w:p>
        </w:tc>
      </w:tr>
      <w:tr>
        <w:tc>
          <w:tcPr>
            <w:tcW w:type="dxa" w:w="14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3000"/>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Application mobile Android</w:t>
            </w:r>
          </w:p>
        </w:tc>
        <w:tc>
          <w:tcPr>
            <w:tcW w:type="dxa" w:w="4626"/>
            <w:tcBorders>
              <w:top w:val="single" w:color="D0D5DD" w:sz="1"/>
              <w:left w:val="single" w:color="D0D5DD" w:sz="1"/>
              <w:bottom w:val="single" w:color="D0D5DD" w:sz="1"/>
              <w:right w:val="single" w:color="D0D5DD" w:sz="1"/>
            </w:tcBorders>
            <w:shd w:fill="F4F6F4" w:val="clear"/>
            <w:tcMar>
              <w:top w:type="dxa" w:w="80"/>
              <w:left w:type="dxa" w:w="120"/>
              <w:bottom w:type="dxa" w:w="80"/>
              <w:right w:type="dxa" w:w="120"/>
            </w:tcMar>
          </w:tcPr>
          <w:p>
            <w:r>
              <w:rPr>
                <w:rFonts w:ascii="Arial" w:cs="Arial" w:eastAsia="Arial" w:hAnsi="Arial"/>
                <w:color w:val="1A1A1A"/>
                <w:sz w:val="20"/>
                <w:szCs w:val="20"/>
              </w:rPr>
              <w:t xml:space="preserve">Disponible sur Google Play, note superieure a 4/5, fonctionnelle sur Android 10+</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tabs>
        <w:tab w:val="right" w:pos="9026"/>
      </w:tabs>
      <w:spacing w:after="0" w:before="80"/>
    </w:pPr>
    <w:r>
      <w:rPr>
        <w:rFonts w:ascii="Arial" w:cs="Arial" w:eastAsia="Arial" w:hAnsi="Arial"/>
        <w:color w:val="4A5568"/>
        <w:sz w:val="16"/>
        <w:szCs w:val="16"/>
      </w:rPr>
      <w:t xml:space="preserve">Version 1.0 — Document confidentiel</w:t>
    </w:r>
    <w:r>
      <w:rPr>
        <w:rFonts w:ascii="Arial" w:cs="Arial" w:eastAsia="Arial" w:hAnsi="Arial"/>
        <w:color w:val="4A5568"/>
        <w:sz w:val="16"/>
        <w:szCs w:val="16"/>
      </w:rPr>
      <w:t xml:space="preserve">		Page </w:t>
    </w:r>
    <w:r>
      <w:rPr>
        <w:rFonts w:ascii="Arial" w:cs="Arial" w:eastAsia="Arial" w:hAnsi="Arial"/>
        <w:color w:val="0062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233" w:sz="6" w:space="1"/>
      </w:pBdr>
      <w:spacing w:after="80" w:before="0"/>
    </w:pPr>
    <w:r>
      <w:rPr>
        <w:rFonts w:ascii="Arial" w:cs="Arial" w:eastAsia="Arial" w:hAnsi="Arial"/>
        <w:b/>
        <w:bCs/>
        <w:color w:val="006233"/>
        <w:sz w:val="18"/>
        <w:szCs w:val="18"/>
      </w:rPr>
      <w:t xml:space="preserve">MiZan — Cahier des Charges — Plateforme juridique marocaine</w:t>
    </w:r>
    <w:r>
      <w:rPr>
        <w:rFonts w:ascii="Arial" w:cs="Arial" w:eastAsia="Arial" w:hAnsi="Arial"/>
        <w:color w:val="4A5568"/>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0062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112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2026-03-31T23:00:15.986Z</dcterms:created>
  <dcterms:modified xsi:type="dcterms:W3CDTF">2026-03-31T23:00:15.986Z</dcterms:modified>
</cp:coreProperties>
</file>

<file path=docProps/custom.xml><?xml version="1.0" encoding="utf-8"?>
<Properties xmlns="http://schemas.openxmlformats.org/officeDocument/2006/custom-properties" xmlns:vt="http://schemas.openxmlformats.org/officeDocument/2006/docPropsVTypes"/>
</file>