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8" w:space="4"/>
        </w:pBdr>
        <w:spacing w:after="140" w:before="400"/>
      </w:pPr>
      <w:r>
        <w:rPr>
          <w:rFonts w:ascii="Arial" w:cs="Arial" w:eastAsia="Arial" w:hAnsi="Arial"/>
          <w:b/>
          <w:bCs/>
          <w:sz w:val="28"/>
          <w:szCs w:val="28"/>
        </w:rPr>
        <w:t xml:space="preserve">Chapitre 3 — Accompagner les apprenants en formation</w:t>
      </w:r>
    </w:p>
    <w:p>
      <w:pPr>
        <w:spacing w:after="80" w:before="0"/>
        <w:jc w:val="center"/>
      </w:pPr>
      <w:r>
        <w:rPr>
          <w:rFonts w:ascii="Arial" w:cs="Arial" w:eastAsia="Arial" w:hAnsi="Arial"/>
          <w:i/>
          <w:iCs/>
          <w:sz w:val="22"/>
          <w:szCs w:val="22"/>
        </w:rPr>
        <w:t xml:space="preserve">Accompagnement du développement professionnel — M. E., BAC PRO AEPA — EPV Formation, Toulon</w:t>
      </w:r>
    </w:p>
    <w:p>
      <w:pPr>
        <w:spacing w:after="0" w:before="100"/>
      </w:pPr>
    </w:p>
    <w:p>
      <w:pPr>
        <w:spacing w:after="80" w:before="260"/>
      </w:pPr>
      <w:r>
        <w:rPr>
          <w:rFonts w:ascii="Arial" w:cs="Arial" w:eastAsia="Arial" w:hAnsi="Arial"/>
          <w:b/>
          <w:bCs/>
          <w:sz w:val="24"/>
          <w:szCs w:val="24"/>
          <w:u w:val="single"/>
        </w:rPr>
        <w:t xml:space="preserve">1. Cadre théorique — l'accompagnement au développement professionnel</w:t>
      </w:r>
    </w:p>
    <w:p>
      <w:pPr>
        <w:spacing w:after="60" w:before="60"/>
        <w:jc w:val="both"/>
      </w:pPr>
      <w:r>
        <w:rPr>
          <w:rFonts w:ascii="Arial" w:cs="Arial" w:eastAsia="Arial" w:hAnsi="Arial"/>
          <w:b w:val="false"/>
          <w:bCs w:val="false"/>
          <w:i w:val="false"/>
          <w:iCs w:val="false"/>
          <w:sz w:val="22"/>
          <w:szCs w:val="22"/>
        </w:rPr>
        <w:t xml:space="preserve">L'accompagnement au développement professionnel repose sur une distinction fondamentale posée par Paul (2004) : accompagner, ce n'est pas conduire quelqu'un à une destination que le formateur a choisie pour lui — c'est marcher à côté, créer les conditions pour que l'apprenant trouve lui-même sa voie. Cette posture rompt avec la logique de transmission verticale du savoir pour s'inscrire dans une relation d'égal à égal, où le formateur est facilitateur et non expert prescripteur.</w:t>
      </w:r>
    </w:p>
    <w:p>
      <w:pPr>
        <w:spacing w:after="60" w:before="60"/>
        <w:jc w:val="both"/>
      </w:pPr>
      <w:r>
        <w:rPr>
          <w:rFonts w:ascii="Arial" w:cs="Arial" w:eastAsia="Arial" w:hAnsi="Arial"/>
          <w:b w:val="false"/>
          <w:bCs w:val="false"/>
          <w:i w:val="false"/>
          <w:iCs w:val="false"/>
          <w:sz w:val="22"/>
          <w:szCs w:val="22"/>
        </w:rPr>
        <w:t xml:space="preserve">Carl Rogers (1951) fonde cette posture sur trois conditions : l'empathie (comprendre le monde de l'apprenant de l'intérieur), la congruence (être authentique dans la relation) et le regard positif inconditionnel (accueillir l'apprenant sans jugement). Ces trois conditions ne sont pas des qualités innées — ce sont des outils que le formateur construit et mobilise consciemment.</w:t>
      </w:r>
    </w:p>
    <w:p>
      <w:pPr>
        <w:spacing w:after="60" w:before="60"/>
        <w:jc w:val="both"/>
      </w:pPr>
      <w:r>
        <w:rPr>
          <w:rFonts w:ascii="Arial" w:cs="Arial" w:eastAsia="Arial" w:hAnsi="Arial"/>
          <w:b w:val="false"/>
          <w:bCs w:val="false"/>
          <w:i w:val="false"/>
          <w:iCs w:val="false"/>
          <w:sz w:val="22"/>
          <w:szCs w:val="22"/>
        </w:rPr>
        <w:t xml:space="preserve">Albert Bandura (1986) apporte un éclairage complémentaire avec le concept d'auto-efficacité : un individu qui ne se croit pas capable d'agir sur sa situation ne s'engagera pas dans des démarches actives, même si les ressources existent objectivement. La démobilisation de M. E. face aux refus successifs illustre exactement ce mécanisme. Rétablir son sentiment d'auto-efficacité — lui faire recontacter ses propres compétences — est donc le premier enjeu de l'accompagnement, avant même de travailler sur les outils de recherche d'alternance.</w:t>
      </w:r>
    </w:p>
    <w:p>
      <w:pPr>
        <w:spacing w:after="60" w:before="60"/>
        <w:jc w:val="both"/>
      </w:pPr>
      <w:r>
        <w:rPr>
          <w:rFonts w:ascii="Arial" w:cs="Arial" w:eastAsia="Arial" w:hAnsi="Arial"/>
          <w:b w:val="false"/>
          <w:bCs w:val="false"/>
          <w:i w:val="false"/>
          <w:iCs w:val="false"/>
          <w:sz w:val="22"/>
          <w:szCs w:val="22"/>
        </w:rPr>
        <w:t xml:space="preserve">C'est ce cadre théorique qui oriente l'ensemble de ma démarche avec M. E. : partir de ce qu'il ressent, l'amener à identifier ses propres ressources, co-construire avec lui un plan d'action qu'il s'approprie. Ne jamais prescrire à sa place.</w:t>
      </w:r>
    </w:p>
    <w:p>
      <w:pPr>
        <w:spacing w:after="0" w:before="100"/>
      </w:pPr>
    </w:p>
    <w:p>
      <w:pPr>
        <w:spacing w:after="80" w:before="260"/>
      </w:pPr>
      <w:r>
        <w:rPr>
          <w:rFonts w:ascii="Arial" w:cs="Arial" w:eastAsia="Arial" w:hAnsi="Arial"/>
          <w:b/>
          <w:bCs/>
          <w:sz w:val="24"/>
          <w:szCs w:val="24"/>
          <w:u w:val="single"/>
        </w:rPr>
        <w:t xml:space="preserve">2. Contexte de la situation — repérage du signal de décrochage</w:t>
      </w:r>
    </w:p>
    <w:p>
      <w:pPr>
        <w:spacing w:after="60" w:before="60"/>
        <w:jc w:val="both"/>
      </w:pPr>
      <w:r>
        <w:rPr>
          <w:rFonts w:ascii="Arial" w:cs="Arial" w:eastAsia="Arial" w:hAnsi="Arial"/>
          <w:b w:val="false"/>
          <w:bCs w:val="false"/>
          <w:i w:val="false"/>
          <w:iCs w:val="false"/>
          <w:sz w:val="22"/>
          <w:szCs w:val="22"/>
        </w:rPr>
        <w:t xml:space="preserve">Le repérage précoce des risques de décrochage est une compétence attendue du formateur professionnel d'adultes. Glasman et Oeuvrard (2011) distinguent deux types de signaux : les signaux forts (absentéisme, abandon déclaré) et les signaux faibles (découragement verbalisé en marge de séance, retrait progressif, remise en question informelle du parcours). Les signaux faibles sont les plus précieux — ils offrent une fenêtre d'intervention avant que la situation ne soit irréversible.</w:t>
      </w:r>
    </w:p>
    <w:p>
      <w:pPr>
        <w:spacing w:after="60" w:before="60"/>
        <w:jc w:val="both"/>
      </w:pPr>
      <w:r>
        <w:rPr>
          <w:rFonts w:ascii="Arial" w:cs="Arial" w:eastAsia="Arial" w:hAnsi="Arial"/>
          <w:b w:val="false"/>
          <w:bCs w:val="false"/>
          <w:i w:val="false"/>
          <w:iCs w:val="false"/>
          <w:sz w:val="22"/>
          <w:szCs w:val="22"/>
        </w:rPr>
        <w:t xml:space="preserve">Dans ma pratique, je repère M. E. lors d'un échange informel en marge d'une séance de formation. Il exprime son découragement face aux refus successifs de structures d'alternance et remet en question la poursuite de son BAC PRO AEPA. Ce n'est pas encore un abandon — c'est un signal faible. Je décide d'agir immédiatement, sans attendre que la situation se cristallise.</w:t>
      </w:r>
    </w:p>
    <w:p>
      <w:pPr>
        <w:spacing w:after="60" w:before="60"/>
        <w:jc w:val="both"/>
      </w:pPr>
      <w:r>
        <w:rPr>
          <w:rFonts w:ascii="Arial" w:cs="Arial" w:eastAsia="Arial" w:hAnsi="Arial"/>
          <w:b w:val="false"/>
          <w:bCs w:val="false"/>
          <w:i w:val="false"/>
          <w:iCs w:val="false"/>
          <w:sz w:val="22"/>
          <w:szCs w:val="22"/>
        </w:rPr>
        <w:t xml:space="preserve">M. E. est en formation depuis plusieurs semaines sans avoir sécurisé de convention d'alternance. Sa situation produit deux effets conjugués décrits par Bandura : une baisse de l'auto-efficacité perçue (« mon profil ne correspond pas ») et une attribution causale externe et stable (« les structures ne veulent pas de moi »). Ces deux mécanismes, s'ils ne sont pas travaillés, conduisent à l'abandon. L'entretien individuel structuré est la réponse que je choisis pour les désamorcer.</w:t>
      </w:r>
    </w:p>
    <w:p>
      <w:pPr>
        <w:spacing w:after="0" w:before="100"/>
      </w:pPr>
    </w:p>
    <w:p>
      <w:pPr>
        <w:spacing w:after="80" w:before="260"/>
      </w:pPr>
      <w:r>
        <w:rPr>
          <w:rFonts w:ascii="Arial" w:cs="Arial" w:eastAsia="Arial" w:hAnsi="Arial"/>
          <w:b/>
          <w:bCs/>
          <w:sz w:val="24"/>
          <w:szCs w:val="24"/>
          <w:u w:val="single"/>
        </w:rPr>
        <w:t xml:space="preserve">3. AVANT l'entretien — la préparation comme condition de la posture</w:t>
      </w:r>
    </w:p>
    <w:p>
      <w:pPr>
        <w:spacing w:after="60" w:before="60"/>
        <w:jc w:val="both"/>
      </w:pPr>
      <w:r>
        <w:rPr>
          <w:rFonts w:ascii="Arial" w:cs="Arial" w:eastAsia="Arial" w:hAnsi="Arial"/>
          <w:b w:val="false"/>
          <w:bCs w:val="false"/>
          <w:i w:val="false"/>
          <w:iCs w:val="false"/>
          <w:sz w:val="22"/>
          <w:szCs w:val="22"/>
        </w:rPr>
        <w:t xml:space="preserve">La théorie de l'entretien non directif (Rogers, 1951) pourrait laisser croire qu'une posture d'accompagnement s'improvise — qu'il suffit d'écouter. C'est une erreur. La non-directivité est une posture exigeante qui nécessite une préparation rigoureuse : sans elle, le formateur risque de basculer dans le conseil prescriptif par défaut, de valider les représentations erronées de l'apprenant, ou de produire un entretien sans issue concrète.</w:t>
      </w:r>
    </w:p>
    <w:p>
      <w:pPr>
        <w:spacing w:after="60" w:before="60"/>
        <w:jc w:val="both"/>
      </w:pPr>
      <w:r>
        <w:rPr>
          <w:rFonts w:ascii="Arial" w:cs="Arial" w:eastAsia="Arial" w:hAnsi="Arial"/>
          <w:b w:val="false"/>
          <w:bCs w:val="false"/>
          <w:i w:val="false"/>
          <w:iCs w:val="false"/>
          <w:sz w:val="22"/>
          <w:szCs w:val="22"/>
        </w:rPr>
        <w:t xml:space="preserve">Je prépare l'entretien en trois temps. D'abord, je consulte le dossier de formation de M. E., ses évaluations et les retours des autres formateurs. Ce travail préalable me permet de connaître objectivement son profil avant de le recevoir — je sais qu'il a de bons résultats théoriques (4/5 au diagnostique, 16/20 en sommative). Sa difficulté n'est pas une difficulté de compétence, c'est une difficulté de positionnement et de confiance. Cette connaissance oriente toute ma posture dans l'entretien : je peux m'appuyer sur ses compétences réelles comme levier.</w:t>
      </w:r>
    </w:p>
    <w:p>
      <w:pPr>
        <w:spacing w:after="60" w:before="60"/>
        <w:jc w:val="both"/>
      </w:pPr>
      <w:r>
        <w:rPr>
          <w:rFonts w:ascii="Arial" w:cs="Arial" w:eastAsia="Arial" w:hAnsi="Arial"/>
          <w:b w:val="false"/>
          <w:bCs w:val="false"/>
          <w:i w:val="false"/>
          <w:iCs w:val="false"/>
          <w:sz w:val="22"/>
          <w:szCs w:val="22"/>
        </w:rPr>
        <w:t xml:space="preserve">Ensuite, je prépare une trame d'entretien structurée en quatre temps (accueil / exploration / co-construction / engagement). La trame ne rigidifie pas l'entretien — elle le sécurise. Elle garantit qu'on atteindra une issue concrète, quelle que soit la direction que prend la conversation. C'est la différence entre un entretien d'accompagnement et une conversation de couloir.</w:t>
      </w:r>
    </w:p>
    <w:p>
      <w:pPr>
        <w:spacing w:after="60" w:before="60"/>
        <w:jc w:val="both"/>
      </w:pPr>
      <w:r>
        <w:rPr>
          <w:rFonts w:ascii="Arial" w:cs="Arial" w:eastAsia="Arial" w:hAnsi="Arial"/>
          <w:b w:val="false"/>
          <w:bCs w:val="false"/>
          <w:i w:val="false"/>
          <w:iCs w:val="false"/>
          <w:sz w:val="22"/>
          <w:szCs w:val="22"/>
        </w:rPr>
        <w:t xml:space="preserve">Enfin, j'anticipe les freins probables de M. E. : sentiment d'échec, perte de confiance, fatigue des démarches répétées sans résultat. Je prépare des reformulations positives pour recentrer l'entretien sur ses ressources. Si M. E. dit « mon profil ne correspond pas », je sais déjà que je répondrai : « vous avez l'impression que les structures ne voient pas encore ce que vous pouvez leur apporter — qu'est-ce que vous pourriez mettre en avant ? ». Ce glissement de cadrage n'est pas un effet rhétorique — c'est une technique fondée sur l'approche centrée sur la personne (Rogers) qui déplace M. E. d'une position de victime à une position d'acteur.</w:t>
      </w:r>
    </w:p>
    <w:p>
      <w:pPr>
        <w:spacing w:after="0" w:before="100"/>
      </w:pPr>
    </w:p>
    <w:p>
      <w:pPr>
        <w:spacing w:after="80" w:before="260"/>
      </w:pPr>
      <w:r>
        <w:rPr>
          <w:rFonts w:ascii="Arial" w:cs="Arial" w:eastAsia="Arial" w:hAnsi="Arial"/>
          <w:b/>
          <w:bCs/>
          <w:sz w:val="24"/>
          <w:szCs w:val="24"/>
          <w:u w:val="single"/>
        </w:rPr>
        <w:t xml:space="preserve">4. PENDANT l'entretien — théorie et mise en œuvre</w:t>
      </w:r>
    </w:p>
    <w:p>
      <w:pPr>
        <w:spacing w:after="60" w:before="60"/>
        <w:jc w:val="both"/>
      </w:pPr>
      <w:r>
        <w:rPr>
          <w:rFonts w:ascii="Arial" w:cs="Arial" w:eastAsia="Arial" w:hAnsi="Arial"/>
          <w:b w:val="false"/>
          <w:bCs w:val="false"/>
          <w:i w:val="false"/>
          <w:iCs w:val="false"/>
          <w:sz w:val="22"/>
          <w:szCs w:val="22"/>
        </w:rPr>
        <w:t xml:space="preserve">L'entretien repose sur le modèle de l'entretien d'aide (Mucchielli, 1994) : une progression en quatre temps qui va de l'accueil de la personne à la co-construction d'un engagement. Chaque temps a une fonction précise — on ne peut pas sauter une étape sans compromettre les suivantes.</w:t>
      </w:r>
    </w:p>
    <w:p>
      <w:pPr>
        <w:spacing w:after="0" w:before="100"/>
      </w:pPr>
    </w:p>
    <w:p>
      <w:pPr>
        <w:spacing w:after="60" w:before="160"/>
      </w:pPr>
      <w:r>
        <w:rPr>
          <w:rFonts w:ascii="Arial" w:cs="Arial" w:eastAsia="Arial" w:hAnsi="Arial"/>
          <w:b/>
          <w:bCs/>
          <w:sz w:val="22"/>
          <w:szCs w:val="22"/>
          <w:u w:val="single"/>
        </w:rPr>
        <w:t xml:space="preserve">Temps 1 — Accueil et sécurisation (5 min)</w:t>
      </w:r>
    </w:p>
    <w:p>
      <w:pPr>
        <w:spacing w:after="60" w:before="60"/>
        <w:jc w:val="both"/>
      </w:pPr>
      <w:r>
        <w:rPr>
          <w:rFonts w:ascii="Arial" w:cs="Arial" w:eastAsia="Arial" w:hAnsi="Arial"/>
          <w:b w:val="false"/>
          <w:bCs w:val="false"/>
          <w:i w:val="false"/>
          <w:iCs w:val="false"/>
          <w:sz w:val="22"/>
          <w:szCs w:val="22"/>
        </w:rPr>
        <w:t xml:space="preserve">La théorie de l'alliance thérapeutique (Bordin, 1979) — transposée à l'accompagnement pédagogique — montre qu'aucune co-construction n'est possible sans alliance de travail préalable. L'alliance se construit dans les premières minutes : si M. E. ne se sent pas en confiance, il ne verbalisera pas ses difficultés réelles — il dira ce qu'il pense que je veux entendre.</w:t>
      </w:r>
    </w:p>
    <w:p>
      <w:pPr>
        <w:spacing w:after="60" w:before="60"/>
        <w:jc w:val="both"/>
      </w:pPr>
      <w:r>
        <w:rPr>
          <w:rFonts w:ascii="Arial" w:cs="Arial" w:eastAsia="Arial" w:hAnsi="Arial"/>
          <w:b w:val="false"/>
          <w:bCs w:val="false"/>
          <w:i w:val="false"/>
          <w:iCs w:val="false"/>
          <w:sz w:val="22"/>
          <w:szCs w:val="22"/>
        </w:rPr>
        <w:t xml:space="preserve">Je pose donc d'emblée une question ouverte non jugeante : « Comment vous sentez-vous en ce moment dans votre formation ? ». Je rappelle le cadre de confidentialité et le caractère volontaire de l'entretien. Ce choix laisse à M. E. le contrôle de son point d'entrée dans l'échange — c'est lui qui cadre le départ, pas moi. C'est la première manifestation concrète de la posture rogérienne.</w:t>
      </w:r>
    </w:p>
    <w:p>
      <w:pPr>
        <w:spacing w:after="0" w:before="100"/>
      </w:pPr>
    </w:p>
    <w:p>
      <w:pPr>
        <w:spacing w:after="60" w:before="160"/>
      </w:pPr>
      <w:r>
        <w:rPr>
          <w:rFonts w:ascii="Arial" w:cs="Arial" w:eastAsia="Arial" w:hAnsi="Arial"/>
          <w:b/>
          <w:bCs/>
          <w:sz w:val="22"/>
          <w:szCs w:val="22"/>
          <w:u w:val="single"/>
        </w:rPr>
        <w:t xml:space="preserve">Temps 2 — Exploration des difficultés (15 min)</w:t>
      </w:r>
    </w:p>
    <w:p>
      <w:pPr>
        <w:spacing w:after="60" w:before="60"/>
        <w:jc w:val="both"/>
      </w:pPr>
      <w:r>
        <w:rPr>
          <w:rFonts w:ascii="Arial" w:cs="Arial" w:eastAsia="Arial" w:hAnsi="Arial"/>
          <w:b w:val="false"/>
          <w:bCs w:val="false"/>
          <w:i w:val="false"/>
          <w:iCs w:val="false"/>
          <w:sz w:val="22"/>
          <w:szCs w:val="22"/>
        </w:rPr>
        <w:t xml:space="preserve">L'écoute active (Gordon, 1970 ; Rogers, 1951) repose sur trois outils : la reformulation (reprendre ce que l'autre dit pour lui permettre de l'entendre autrement), le silence actif (laisser l'espace pour que la pensée se déploie) et la validation émotionnelle (reconnaître ce que l'autre ressent sans le juger ni le minimiser). Ces trois outils constituent la boîte à outils du temps d'exploration.</w:t>
      </w:r>
    </w:p>
    <w:p>
      <w:pPr>
        <w:spacing w:after="60" w:before="60"/>
        <w:jc w:val="both"/>
      </w:pPr>
      <w:r>
        <w:rPr>
          <w:rFonts w:ascii="Arial" w:cs="Arial" w:eastAsia="Arial" w:hAnsi="Arial"/>
          <w:b w:val="false"/>
          <w:bCs w:val="false"/>
          <w:i w:val="false"/>
          <w:iCs w:val="false"/>
          <w:sz w:val="22"/>
          <w:szCs w:val="22"/>
        </w:rPr>
        <w:t xml:space="preserve">Je m'appuie sur ces techniques pour amener M. E. à verbaliser précisément ses difficultés : combien de candidatures envoyées, quels types de structures contactées, quels retours obtenus, quel ressenti face aux refus. Je ne propose aucune solution à ce stade — l'exploration précède le diagnostic. Si je prescris trop tôt, je réponds à un problème que je n'ai pas encore bien compris.</w:t>
      </w:r>
    </w:p>
    <w:p>
      <w:pPr>
        <w:spacing w:after="60" w:before="60"/>
        <w:jc w:val="both"/>
      </w:pPr>
      <w:r>
        <w:rPr>
          <w:rFonts w:ascii="Arial" w:cs="Arial" w:eastAsia="Arial" w:hAnsi="Arial"/>
          <w:b w:val="false"/>
          <w:bCs w:val="false"/>
          <w:i w:val="false"/>
          <w:iCs w:val="false"/>
          <w:sz w:val="22"/>
          <w:szCs w:val="22"/>
        </w:rPr>
        <w:t xml:space="preserve">Lorsque M. E. exprime un sentiment d'inadéquation entre son profil et les attentes des employeurs, j'utilise la reformulation : « Si je comprends bien, vous avez l'impression que votre profil ne correspond pas à ce que recherchent les structures — c'est bien ça ? ». Cette technique crée une légère distance réflexive : M. E. entend sa situation reformulée de l'extérieur, ce qui lui permet de valider ou de corriger sa propre représentation — et parfois de réaliser que sa lecture de la situation est plus sévère que la réalité.</w:t>
      </w:r>
    </w:p>
    <w:p>
      <w:pPr>
        <w:spacing w:after="0" w:before="100"/>
      </w:pPr>
    </w:p>
    <w:p>
      <w:pPr>
        <w:spacing w:after="60" w:before="160"/>
      </w:pPr>
      <w:r>
        <w:rPr>
          <w:rFonts w:ascii="Arial" w:cs="Arial" w:eastAsia="Arial" w:hAnsi="Arial"/>
          <w:b/>
          <w:bCs/>
          <w:sz w:val="22"/>
          <w:szCs w:val="22"/>
          <w:u w:val="single"/>
        </w:rPr>
        <w:t xml:space="preserve">Temps 3 — Co-construction du plan d'action (15 min)</w:t>
      </w:r>
    </w:p>
    <w:p>
      <w:pPr>
        <w:spacing w:after="60" w:before="60"/>
        <w:jc w:val="both"/>
      </w:pPr>
      <w:r>
        <w:rPr>
          <w:rFonts w:ascii="Arial" w:cs="Arial" w:eastAsia="Arial" w:hAnsi="Arial"/>
          <w:b w:val="false"/>
          <w:bCs w:val="false"/>
          <w:i w:val="false"/>
          <w:iCs w:val="false"/>
          <w:sz w:val="22"/>
          <w:szCs w:val="22"/>
        </w:rPr>
        <w:t xml:space="preserve">Le concept de Zone Proximale de Développement (Vygotski, 1934) s'applique ici non pas aux savoirs académiques mais au développement professionnel : entre ce que M. E. peut faire seul (envoyer des candidatures sans résultat) et ce qu'il pourrait faire avec un étayage adapté (cibler les bonnes structures, valoriser ses compétences, élargir son réseau), il existe un espace dans lequel mon accompagnement intervient.</w:t>
      </w:r>
    </w:p>
    <w:p>
      <w:pPr>
        <w:spacing w:after="60" w:before="60"/>
        <w:jc w:val="both"/>
      </w:pPr>
      <w:r>
        <w:rPr>
          <w:rFonts w:ascii="Arial" w:cs="Arial" w:eastAsia="Arial" w:hAnsi="Arial"/>
          <w:b w:val="false"/>
          <w:bCs w:val="false"/>
          <w:i w:val="false"/>
          <w:iCs w:val="false"/>
          <w:sz w:val="22"/>
          <w:szCs w:val="22"/>
        </w:rPr>
        <w:t xml:space="preserve">Plutôt que de lui fournir un plan d'action tout fait, je pose la question : « Quelles sont les compétences que vous avez développées et que vous pourriez valoriser auprès d'un employeur ? ». Cette inversion — partir des ressources plutôt que des manques — est directement issue de l'approche centrée sur la solution (De Shazer, 1985) et vise à restaurer l'auto-efficacité de M. E. (Bandura). En identifiant lui-même ses compétences, il les réapproprie comme leviers d'action.</w:t>
      </w:r>
    </w:p>
    <w:p>
      <w:pPr>
        <w:spacing w:after="60" w:before="60"/>
        <w:jc w:val="both"/>
      </w:pPr>
      <w:r>
        <w:rPr>
          <w:rFonts w:ascii="Arial" w:cs="Arial" w:eastAsia="Arial" w:hAnsi="Arial"/>
          <w:b w:val="false"/>
          <w:bCs w:val="false"/>
          <w:i w:val="false"/>
          <w:iCs w:val="false"/>
          <w:sz w:val="22"/>
          <w:szCs w:val="22"/>
        </w:rPr>
        <w:t xml:space="preserve">Nous co-construisons ensuite un plan d'action en trois axes : révision des outils de candidature, élargissement du périmètre de prospection, et travail sur la posture lors des entretiens employeurs. Je mobilise à ce stade mon réseau professionnel personnel pour identifier une piste concrète — que j'annonce à M. E. comme une ressource complémentaire, non comme une solution clé en main. Cette mobilisation est immédiatement déclarée à ma tutrice formatrice et à la direction d'EPV Formation, dans un souci de transparence et de traçabilité institutionnelle.</w:t>
      </w:r>
    </w:p>
    <w:p>
      <w:pPr>
        <w:spacing w:after="0" w:before="100"/>
      </w:pPr>
    </w:p>
    <w:p>
      <w:pPr>
        <w:spacing w:after="60" w:before="160"/>
      </w:pPr>
      <w:r>
        <w:rPr>
          <w:rFonts w:ascii="Arial" w:cs="Arial" w:eastAsia="Arial" w:hAnsi="Arial"/>
          <w:b/>
          <w:bCs/>
          <w:sz w:val="22"/>
          <w:szCs w:val="22"/>
          <w:u w:val="single"/>
        </w:rPr>
        <w:t xml:space="preserve">Temps 4 — Engagement et clôture (5 min)</w:t>
      </w:r>
    </w:p>
    <w:p>
      <w:pPr>
        <w:spacing w:after="60" w:before="60"/>
        <w:jc w:val="both"/>
      </w:pPr>
      <w:r>
        <w:rPr>
          <w:rFonts w:ascii="Arial" w:cs="Arial" w:eastAsia="Arial" w:hAnsi="Arial"/>
          <w:b w:val="false"/>
          <w:bCs w:val="false"/>
          <w:i w:val="false"/>
          <w:iCs w:val="false"/>
          <w:sz w:val="22"/>
          <w:szCs w:val="22"/>
        </w:rPr>
        <w:t xml:space="preserve">La théorie de l'engagement (Kiesler, 1971) montre qu'un individu s'engage d'autant plus dans une action qu'il en est lui-même l'auteur déclaré. Faire reformuler M. E. les actions sur lesquelles il s'engage n'est pas un contrôle — c'est un mécanisme d'appropriation. En énonçant lui-même ses engagements, il en devient responsable.</w:t>
      </w:r>
    </w:p>
    <w:p>
      <w:pPr>
        <w:spacing w:after="60" w:before="60"/>
        <w:jc w:val="both"/>
      </w:pPr>
      <w:r>
        <w:rPr>
          <w:rFonts w:ascii="Arial" w:cs="Arial" w:eastAsia="Arial" w:hAnsi="Arial"/>
          <w:b w:val="false"/>
          <w:bCs w:val="false"/>
          <w:i w:val="false"/>
          <w:iCs w:val="false"/>
          <w:sz w:val="22"/>
          <w:szCs w:val="22"/>
        </w:rPr>
        <w:t xml:space="preserve">Je conclus l'entretien en fixant un point de suivi à une semaine et en remettant à M. E. une fiche récapitulative des actions décidées ensemble, co-signée par les deux parties. La co-signature matérialise l'engagement mutuel et produit la trace écrite de l'accompagnement — condition de la traçabilité attendue par Qualiopi.</w:t>
      </w:r>
    </w:p>
    <w:p>
      <w:pPr>
        <w:spacing w:after="0" w:before="100"/>
      </w:pPr>
    </w:p>
    <w:p>
      <w:pPr>
        <w:spacing w:after="80" w:before="260"/>
      </w:pPr>
      <w:r>
        <w:rPr>
          <w:rFonts w:ascii="Arial" w:cs="Arial" w:eastAsia="Arial" w:hAnsi="Arial"/>
          <w:b/>
          <w:bCs/>
          <w:sz w:val="24"/>
          <w:szCs w:val="24"/>
          <w:u w:val="single"/>
        </w:rPr>
        <w:t xml:space="preserve">5. APRÈS l'entretien — résultats et analyse réflexive</w:t>
      </w:r>
    </w:p>
    <w:p>
      <w:pPr>
        <w:spacing w:after="60" w:before="60"/>
        <w:jc w:val="both"/>
      </w:pPr>
      <w:r>
        <w:rPr>
          <w:rFonts w:ascii="Arial" w:cs="Arial" w:eastAsia="Arial" w:hAnsi="Arial"/>
          <w:b w:val="false"/>
          <w:bCs w:val="false"/>
          <w:i w:val="false"/>
          <w:iCs w:val="false"/>
          <w:sz w:val="22"/>
          <w:szCs w:val="22"/>
        </w:rPr>
        <w:t xml:space="preserve">La théorie de la régulation des apprentissages (Allal, 1988) distingue trois formes de régulation : proactive (avant), interactive (pendant) et rétroactive (après). L'après n'est pas la fin de l'accompagnement — c'est la phase de régulation rétroactive : vérifier que ce qui a été mis en place produit les effets attendus, et ajuster si ce n'est pas le cas.</w:t>
      </w:r>
    </w:p>
    <w:p>
      <w:pPr>
        <w:spacing w:after="60" w:before="60"/>
        <w:jc w:val="both"/>
      </w:pPr>
      <w:r>
        <w:rPr>
          <w:rFonts w:ascii="Arial" w:cs="Arial" w:eastAsia="Arial" w:hAnsi="Arial"/>
          <w:b w:val="false"/>
          <w:bCs w:val="false"/>
          <w:i w:val="false"/>
          <w:iCs w:val="false"/>
          <w:sz w:val="22"/>
          <w:szCs w:val="22"/>
        </w:rPr>
        <w:t xml:space="preserve">À l'issue de l'entretien, M. E. retrouve une dynamique de recherche active. Grâce à la piste identifiée via mon réseau professionnel, il obtient un entretien dans une structure médico-sociale du bassin toulonnais et sécurise une convention d'alternance dans les jours suivants. Ce résultat valide la démarche — mais il ne la justifie pas à lui seul. Ce qui valide la démarche, c'est sa cohérence avec les principes théoriques mobilisés : M. E. a co-construit son plan, il en était l'auteur, et c'est pour ça qu'il s'y est engagé.</w:t>
      </w:r>
    </w:p>
    <w:p>
      <w:pPr>
        <w:spacing w:after="60" w:before="60"/>
        <w:jc w:val="both"/>
      </w:pPr>
      <w:r>
        <w:rPr>
          <w:rFonts w:ascii="Arial" w:cs="Arial" w:eastAsia="Arial" w:hAnsi="Arial"/>
          <w:b w:val="false"/>
          <w:bCs w:val="false"/>
          <w:i w:val="false"/>
          <w:iCs w:val="false"/>
          <w:sz w:val="22"/>
          <w:szCs w:val="22"/>
        </w:rPr>
        <w:t xml:space="preserve">Je conduis un point de suivi téléphonique à une semaine. Ce suivi n'est pas facultatif — sans lui, l'entretien reste une intention sans ancrage dans la réalité. Il me permet de vérifier que M. E. a enclenché les démarches et d'intervenir si un obstacle nouveau est apparu. Une fois la convention sécurisée, j'effectue des appels de suivi auprès du tuteur en structure — l'accompagnement ne s'arrête pas à la signature : le premier mois en alternance est souvent le plus fragile.</w:t>
      </w:r>
    </w:p>
    <w:p>
      <w:pPr>
        <w:spacing w:after="60" w:before="60"/>
        <w:jc w:val="both"/>
      </w:pPr>
      <w:r>
        <w:rPr>
          <w:rFonts w:ascii="Arial" w:cs="Arial" w:eastAsia="Arial" w:hAnsi="Arial"/>
          <w:b w:val="false"/>
          <w:bCs w:val="false"/>
          <w:i w:val="false"/>
          <w:iCs w:val="false"/>
          <w:sz w:val="22"/>
          <w:szCs w:val="22"/>
        </w:rPr>
        <w:t xml:space="preserve">Sur le plan de l'analyse réflexive, cet accompagnement m'apprend que la vitesse de réaction au signal faible est déterminante. Si j'avais attendu que M. E. abandonne formellement, la fenêtre d'intervention serait fermée. Je retiens ce principe pour ma pratique : la vigilance sur les comportements hors-séance — les échanges en marge, les silences inhabituels, le découragement verbalisé à voix basse — est aussi importante que l'animation en salle. C'est là que se jouent souvent les parcours.</w:t>
      </w:r>
    </w:p>
    <w:p>
      <w:pPr>
        <w:spacing w:after="0" w:before="100"/>
      </w:pPr>
    </w:p>
    <w:p>
      <w:pPr>
        <w:spacing w:after="80" w:before="260"/>
      </w:pPr>
      <w:r>
        <w:rPr>
          <w:rFonts w:ascii="Arial" w:cs="Arial" w:eastAsia="Arial" w:hAnsi="Arial"/>
          <w:b/>
          <w:bCs/>
          <w:sz w:val="24"/>
          <w:szCs w:val="24"/>
          <w:u w:val="single"/>
        </w:rPr>
        <w:t xml:space="preserve">6. Synthèse des moyens mobilisés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Moyen</w:t>
            </w:r>
          </w:p>
        </w:tc>
        <w:tc>
          <w:tcPr>
            <w:tcW w:type="dxa" w:w="36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638"/>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Ancrage théorique / justification</w:t>
            </w:r>
          </w:p>
        </w:tc>
      </w:tr>
      <w:tr>
        <w:tc>
          <w:tcPr>
            <w:tcW w:type="dxa" w:w="2400"/>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vAlign w:val="top"/>
          </w:tcPr>
          <w:p>
            <w:pPr>
              <w:jc w:val="both"/>
            </w:pPr>
            <w:r>
              <w:rPr>
                <w:rFonts w:ascii="Arial" w:cs="Arial" w:eastAsia="Arial" w:hAnsi="Arial"/>
                <w:b/>
                <w:bCs/>
                <w:i w:val="false"/>
                <w:iCs w:val="false"/>
                <w:sz w:val="20"/>
                <w:szCs w:val="20"/>
              </w:rPr>
              <w:t xml:space="preserve">Trame d'entretien en 4 temps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val="false"/>
                <w:iCs w:val="false"/>
                <w:sz w:val="20"/>
                <w:szCs w:val="20"/>
              </w:rPr>
              <w:t xml:space="preserve">Document structurant l'entretien (accueil / exploration / co-construction / engagement), préparé en amont.</w:t>
            </w:r>
          </w:p>
        </w:tc>
        <w:tc>
          <w:tcPr>
            <w:tcW w:type="dxa" w:w="3638"/>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iCs/>
                <w:sz w:val="20"/>
                <w:szCs w:val="20"/>
              </w:rPr>
              <w:t xml:space="preserve">Modèle de l'entretien d'aide (Mucchielli, 1994). La trame sécurise la progression sans rigidifier l'échange.</w:t>
            </w:r>
          </w:p>
        </w:tc>
      </w:tr>
      <w:tr>
        <w:tc>
          <w:tcPr>
            <w:tcW w:type="dxa" w:w="2400"/>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vAlign w:val="top"/>
          </w:tcPr>
          <w:p>
            <w:pPr>
              <w:jc w:val="both"/>
            </w:pPr>
            <w:r>
              <w:rPr>
                <w:rFonts w:ascii="Arial" w:cs="Arial" w:eastAsia="Arial" w:hAnsi="Arial"/>
                <w:b/>
                <w:bCs/>
                <w:i w:val="false"/>
                <w:iCs w:val="false"/>
                <w:sz w:val="20"/>
                <w:szCs w:val="20"/>
              </w:rPr>
              <w:t xml:space="preserve">Écoute active et reformulation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val="false"/>
                <w:iCs w:val="false"/>
                <w:sz w:val="20"/>
                <w:szCs w:val="20"/>
              </w:rPr>
              <w:t xml:space="preserve">Questions ouvertes, reformulations, silences actifs tout au long de l'exploration.</w:t>
            </w:r>
          </w:p>
        </w:tc>
        <w:tc>
          <w:tcPr>
            <w:tcW w:type="dxa" w:w="3638"/>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iCs/>
                <w:sz w:val="20"/>
                <w:szCs w:val="20"/>
              </w:rPr>
              <w:t xml:space="preserve">Approche centrée sur la personne (Rogers, 1951). Permet à M. E. de valider ou corriger sa représentation de la situation.</w:t>
            </w:r>
          </w:p>
        </w:tc>
      </w:tr>
      <w:tr>
        <w:tc>
          <w:tcPr>
            <w:tcW w:type="dxa" w:w="2400"/>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vAlign w:val="top"/>
          </w:tcPr>
          <w:p>
            <w:pPr>
              <w:jc w:val="both"/>
            </w:pPr>
            <w:r>
              <w:rPr>
                <w:rFonts w:ascii="Arial" w:cs="Arial" w:eastAsia="Arial" w:hAnsi="Arial"/>
                <w:b/>
                <w:bCs/>
                <w:i w:val="false"/>
                <w:iCs w:val="false"/>
                <w:sz w:val="20"/>
                <w:szCs w:val="20"/>
              </w:rPr>
              <w:t xml:space="preserve">Fiche récapitulative co-signée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val="false"/>
                <w:iCs w:val="false"/>
                <w:sz w:val="20"/>
                <w:szCs w:val="20"/>
              </w:rPr>
              <w:t xml:space="preserve">Fiche des engagements mutuels signée par M. E. et moi-même à l'issue de l'entretien.</w:t>
            </w:r>
          </w:p>
        </w:tc>
        <w:tc>
          <w:tcPr>
            <w:tcW w:type="dxa" w:w="3638"/>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iCs/>
                <w:sz w:val="20"/>
                <w:szCs w:val="20"/>
              </w:rPr>
              <w:t xml:space="preserve">Théorie de l'engagement (Kiesler, 1971). M. E. est auteur déclaré de ses engagements — il les honore davantage.</w:t>
            </w:r>
          </w:p>
        </w:tc>
      </w:tr>
      <w:tr>
        <w:tc>
          <w:tcPr>
            <w:tcW w:type="dxa" w:w="2400"/>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vAlign w:val="top"/>
          </w:tcPr>
          <w:p>
            <w:pPr>
              <w:jc w:val="both"/>
            </w:pPr>
            <w:r>
              <w:rPr>
                <w:rFonts w:ascii="Arial" w:cs="Arial" w:eastAsia="Arial" w:hAnsi="Arial"/>
                <w:b/>
                <w:bCs/>
                <w:i w:val="false"/>
                <w:iCs w:val="false"/>
                <w:sz w:val="20"/>
                <w:szCs w:val="20"/>
              </w:rPr>
              <w:t xml:space="preserve">Réseau professionnel personnel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val="false"/>
                <w:iCs w:val="false"/>
                <w:sz w:val="20"/>
                <w:szCs w:val="20"/>
              </w:rPr>
              <w:t xml:space="preserve">Mobilisation de mon réseau médico-social pour identifier une structure d'alternance adaptée au profil de M. E.</w:t>
            </w:r>
          </w:p>
        </w:tc>
        <w:tc>
          <w:tcPr>
            <w:tcW w:type="dxa" w:w="3638"/>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iCs/>
                <w:sz w:val="20"/>
                <w:szCs w:val="20"/>
              </w:rPr>
              <w:t xml:space="preserve">Ressource complémentaire, déclarée à la tutrice et à la direction. Conforme à la posture de formateur responsable.</w:t>
            </w:r>
          </w:p>
        </w:tc>
      </w:tr>
      <w:tr>
        <w:tc>
          <w:tcPr>
            <w:tcW w:type="dxa" w:w="2400"/>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vAlign w:val="top"/>
          </w:tcPr>
          <w:p>
            <w:pPr>
              <w:jc w:val="both"/>
            </w:pPr>
            <w:r>
              <w:rPr>
                <w:rFonts w:ascii="Arial" w:cs="Arial" w:eastAsia="Arial" w:hAnsi="Arial"/>
                <w:b/>
                <w:bCs/>
                <w:i w:val="false"/>
                <w:iCs w:val="false"/>
                <w:sz w:val="20"/>
                <w:szCs w:val="20"/>
              </w:rPr>
              <w:t xml:space="preserve">Point de suivi à une semaine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val="false"/>
                <w:iCs w:val="false"/>
                <w:sz w:val="20"/>
                <w:szCs w:val="20"/>
              </w:rPr>
              <w:t xml:space="preserve">Contact téléphonique pour vérifier l'engagement dans les démarches et ajuster si nécessaire.</w:t>
            </w:r>
          </w:p>
        </w:tc>
        <w:tc>
          <w:tcPr>
            <w:tcW w:type="dxa" w:w="3638"/>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iCs/>
                <w:sz w:val="20"/>
                <w:szCs w:val="20"/>
              </w:rPr>
              <w:t xml:space="preserve">Régulation rétroactive (Allal, 1988). L'accompagnement ne s'arrête pas à la fin de l'entretien.</w:t>
            </w:r>
          </w:p>
        </w:tc>
      </w:tr>
      <w:tr>
        <w:tc>
          <w:tcPr>
            <w:tcW w:type="dxa" w:w="2400"/>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vAlign w:val="top"/>
          </w:tcPr>
          <w:p>
            <w:pPr>
              <w:jc w:val="both"/>
            </w:pPr>
            <w:r>
              <w:rPr>
                <w:rFonts w:ascii="Arial" w:cs="Arial" w:eastAsia="Arial" w:hAnsi="Arial"/>
                <w:b/>
                <w:bCs/>
                <w:i w:val="false"/>
                <w:iCs w:val="false"/>
                <w:sz w:val="20"/>
                <w:szCs w:val="20"/>
              </w:rPr>
              <w:t xml:space="preserve">Appels de suivi tuteur en structure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val="false"/>
                <w:iCs w:val="false"/>
                <w:sz w:val="20"/>
                <w:szCs w:val="20"/>
              </w:rPr>
              <w:t xml:space="preserve">Contacts avec le tuteur de la structure d'accueil après signature de la convention.</w:t>
            </w:r>
          </w:p>
        </w:tc>
        <w:tc>
          <w:tcPr>
            <w:tcW w:type="dxa" w:w="3638"/>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Arial" w:cs="Arial" w:eastAsia="Arial" w:hAnsi="Arial"/>
                <w:b w:val="false"/>
                <w:bCs w:val="false"/>
                <w:i/>
                <w:iCs/>
                <w:sz w:val="20"/>
                <w:szCs w:val="20"/>
              </w:rPr>
              <w:t xml:space="preserve">Sécurisation du parcours d'alternance — le premier mois est le plus fragile.</w:t>
            </w:r>
          </w:p>
        </w:tc>
      </w:tr>
    </w:tbl>
    <w:p>
      <w:pPr>
        <w:spacing w:after="0" w:before="100"/>
      </w:pPr>
    </w:p>
    <w:p>
      <w:pPr>
        <w:spacing w:after="60" w:before="60"/>
        <w:jc w:val="both"/>
      </w:pPr>
      <w:r>
        <w:rPr>
          <w:rFonts w:ascii="Arial" w:cs="Arial" w:eastAsia="Arial" w:hAnsi="Arial"/>
          <w:b w:val="false"/>
          <w:bCs w:val="false"/>
          <w:i/>
          <w:iCs/>
          <w:sz w:val="22"/>
          <w:szCs w:val="22"/>
        </w:rPr>
        <w:t xml:space="preserve">Annexe chapitre 3 : synthèse de l'entretien conduit avec M. 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2026-04-04T15:08:55.165Z</dcterms:created>
  <dcterms:modified xsi:type="dcterms:W3CDTF">2026-04-04T15:08:55.165Z</dcterms:modified>
</cp:coreProperties>
</file>

<file path=docProps/custom.xml><?xml version="1.0" encoding="utf-8"?>
<Properties xmlns="http://schemas.openxmlformats.org/officeDocument/2006/custom-properties" xmlns:vt="http://schemas.openxmlformats.org/officeDocument/2006/docPropsVTypes"/>
</file>