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50B0" w14:textId="0B4BDABD" w:rsidR="005046AF" w:rsidRPr="001E5229" w:rsidRDefault="00CD281A" w:rsidP="00CD281A">
      <w:pPr>
        <w:jc w:val="center"/>
        <w:rPr>
          <w:rFonts w:ascii="Arial" w:hAnsi="Arial" w:cs="Arial"/>
          <w:color w:val="1F1F1F"/>
          <w:sz w:val="28"/>
          <w:szCs w:val="28"/>
          <w:shd w:val="clear" w:color="auto" w:fill="FFFFFF"/>
        </w:rPr>
      </w:pPr>
      <w:r w:rsidRPr="001E5229">
        <w:rPr>
          <w:rFonts w:ascii="Arial" w:hAnsi="Arial" w:cs="Arial"/>
          <w:color w:val="1F1F1F"/>
          <w:sz w:val="28"/>
          <w:szCs w:val="28"/>
          <w:shd w:val="clear" w:color="auto" w:fill="FFFFFF"/>
        </w:rPr>
        <w:t>Fidelity Investments</w:t>
      </w:r>
      <w:r w:rsidRPr="001E5229">
        <w:rPr>
          <w:rFonts w:ascii="Arial" w:hAnsi="Arial" w:cs="Arial"/>
          <w:color w:val="1F1F1F"/>
          <w:sz w:val="28"/>
          <w:szCs w:val="28"/>
          <w:shd w:val="clear" w:color="auto" w:fill="FFFFFF"/>
        </w:rPr>
        <w:t xml:space="preserve"> Case</w:t>
      </w:r>
    </w:p>
    <w:p w14:paraId="78132EFE" w14:textId="213F5FB0" w:rsidR="00570F35" w:rsidRPr="00AD69E5" w:rsidRDefault="00E318D4" w:rsidP="00570F35">
      <w:pPr>
        <w:rPr>
          <w:rFonts w:ascii="Arial" w:hAnsi="Arial" w:cs="Arial"/>
          <w:b/>
          <w:bCs/>
          <w:color w:val="1F1F1F"/>
          <w:u w:val="single"/>
          <w:shd w:val="clear" w:color="auto" w:fill="FFFFFF"/>
        </w:rPr>
      </w:pPr>
      <w:r w:rsidRPr="00AD69E5">
        <w:rPr>
          <w:rFonts w:ascii="Arial" w:hAnsi="Arial" w:cs="Arial"/>
          <w:b/>
          <w:bCs/>
          <w:color w:val="1F1F1F"/>
          <w:u w:val="single"/>
          <w:shd w:val="clear" w:color="auto" w:fill="FFFFFF"/>
        </w:rPr>
        <w:t>Case Question</w:t>
      </w:r>
    </w:p>
    <w:p w14:paraId="777C3A69" w14:textId="2FDDCB29" w:rsidR="00E318D4" w:rsidRDefault="00E318D4" w:rsidP="00E318D4">
      <w:pPr>
        <w:pStyle w:val="ListParagraph"/>
        <w:numPr>
          <w:ilvl w:val="0"/>
          <w:numId w:val="2"/>
        </w:numPr>
        <w:rPr>
          <w:rFonts w:ascii="Arial" w:hAnsi="Arial" w:cs="Arial"/>
        </w:rPr>
      </w:pPr>
      <w:r w:rsidRPr="00CE50A8">
        <w:rPr>
          <w:rFonts w:ascii="Arial" w:hAnsi="Arial" w:cs="Arial"/>
        </w:rPr>
        <w:t>Why does it matter how Fidelity BCGF generates additional profit from customers? Won’t people treat dollars the same whether they have to pay them in an upfront load or annual expense ratio?</w:t>
      </w:r>
      <w:r w:rsidR="00AD69E5">
        <w:rPr>
          <w:rFonts w:ascii="Arial" w:hAnsi="Arial" w:cs="Arial"/>
        </w:rPr>
        <w:br/>
      </w:r>
    </w:p>
    <w:p w14:paraId="370AB13B" w14:textId="1A340DFF" w:rsidR="0004012E" w:rsidRDefault="005A048A" w:rsidP="0004012E">
      <w:pPr>
        <w:pStyle w:val="ListParagraph"/>
        <w:numPr>
          <w:ilvl w:val="1"/>
          <w:numId w:val="2"/>
        </w:numPr>
        <w:rPr>
          <w:rFonts w:ascii="Arial" w:hAnsi="Arial" w:cs="Arial"/>
        </w:rPr>
      </w:pPr>
      <w:r>
        <w:rPr>
          <w:rFonts w:ascii="Arial" w:hAnsi="Arial" w:cs="Arial"/>
        </w:rPr>
        <w:t xml:space="preserve">The way how BCGF generates additional profit will definitely </w:t>
      </w:r>
      <w:r w:rsidR="0042647F">
        <w:rPr>
          <w:rFonts w:ascii="Arial" w:hAnsi="Arial" w:cs="Arial"/>
        </w:rPr>
        <w:t>affect</w:t>
      </w:r>
      <w:r w:rsidR="002876E8">
        <w:rPr>
          <w:rFonts w:ascii="Arial" w:hAnsi="Arial" w:cs="Arial"/>
        </w:rPr>
        <w:t xml:space="preserve"> company’s pricing decisions. And this will indirect or perhaps direct impact</w:t>
      </w:r>
      <w:r w:rsidR="0042647F">
        <w:rPr>
          <w:rFonts w:ascii="Arial" w:hAnsi="Arial" w:cs="Arial"/>
        </w:rPr>
        <w:t xml:space="preserve"> </w:t>
      </w:r>
      <w:r>
        <w:rPr>
          <w:rFonts w:ascii="Arial" w:hAnsi="Arial" w:cs="Arial"/>
        </w:rPr>
        <w:t>customer purchasing decisions.</w:t>
      </w:r>
      <w:r w:rsidR="002876E8">
        <w:rPr>
          <w:rFonts w:ascii="Arial" w:hAnsi="Arial" w:cs="Arial"/>
        </w:rPr>
        <w:t xml:space="preserve"> If we charge more than customers willingness to pay, then customers will choose to buy from our competitor</w:t>
      </w:r>
      <w:r w:rsidR="00E02F05">
        <w:rPr>
          <w:rFonts w:ascii="Arial" w:hAnsi="Arial" w:cs="Arial"/>
        </w:rPr>
        <w:t>s</w:t>
      </w:r>
      <w:r w:rsidR="002876E8">
        <w:rPr>
          <w:rFonts w:ascii="Arial" w:hAnsi="Arial" w:cs="Arial"/>
        </w:rPr>
        <w:t>.</w:t>
      </w:r>
      <w:r w:rsidR="00292BCC">
        <w:rPr>
          <w:rFonts w:ascii="Arial" w:hAnsi="Arial" w:cs="Arial"/>
        </w:rPr>
        <w:t xml:space="preserve"> Therefore, finding a price which can </w:t>
      </w:r>
      <w:proofErr w:type="spellStart"/>
      <w:r w:rsidR="00292BCC">
        <w:rPr>
          <w:rFonts w:ascii="Arial" w:hAnsi="Arial" w:cs="Arial"/>
        </w:rPr>
        <w:t>maximise</w:t>
      </w:r>
      <w:proofErr w:type="spellEnd"/>
      <w:r w:rsidR="00292BCC">
        <w:rPr>
          <w:rFonts w:ascii="Arial" w:hAnsi="Arial" w:cs="Arial"/>
        </w:rPr>
        <w:t xml:space="preserve"> our profit is important.</w:t>
      </w:r>
    </w:p>
    <w:p w14:paraId="28DBC3A3" w14:textId="1AF4794A" w:rsidR="008C456B" w:rsidRPr="00AD69E5" w:rsidRDefault="00C775CA" w:rsidP="008C456B">
      <w:pPr>
        <w:pStyle w:val="ListParagraph"/>
        <w:numPr>
          <w:ilvl w:val="1"/>
          <w:numId w:val="2"/>
        </w:numPr>
        <w:rPr>
          <w:rFonts w:ascii="Arial" w:hAnsi="Arial" w:cs="Arial"/>
        </w:rPr>
      </w:pPr>
      <w:r>
        <w:rPr>
          <w:rFonts w:ascii="Arial" w:hAnsi="Arial" w:cs="Arial"/>
        </w:rPr>
        <w:t>People usually prefer “</w:t>
      </w:r>
      <w:r w:rsidRPr="00F125D9">
        <w:rPr>
          <w:rFonts w:ascii="Arial" w:hAnsi="Arial" w:cs="Arial"/>
          <w:b/>
          <w:bCs/>
        </w:rPr>
        <w:t>separate gain and integrated loss</w:t>
      </w:r>
      <w:r>
        <w:rPr>
          <w:rFonts w:ascii="Arial" w:hAnsi="Arial" w:cs="Arial"/>
        </w:rPr>
        <w:t>”</w:t>
      </w:r>
      <w:r w:rsidR="00627F35">
        <w:rPr>
          <w:rFonts w:ascii="Arial" w:hAnsi="Arial" w:cs="Arial"/>
        </w:rPr>
        <w:t xml:space="preserve">. In our case, charging the fee is considered as “loss”. Under this scenario, charging </w:t>
      </w:r>
      <w:r w:rsidR="005733DA">
        <w:rPr>
          <w:rFonts w:ascii="Arial" w:hAnsi="Arial" w:cs="Arial"/>
        </w:rPr>
        <w:t>a front-end load</w:t>
      </w:r>
      <w:r w:rsidR="00E218C5">
        <w:rPr>
          <w:rFonts w:ascii="Arial" w:hAnsi="Arial" w:cs="Arial"/>
        </w:rPr>
        <w:t xml:space="preserve"> </w:t>
      </w:r>
      <w:r w:rsidR="005733DA">
        <w:rPr>
          <w:rFonts w:ascii="Arial" w:hAnsi="Arial" w:cs="Arial"/>
        </w:rPr>
        <w:t xml:space="preserve">might have different effect from </w:t>
      </w:r>
      <w:r w:rsidR="00D415C0">
        <w:rPr>
          <w:rFonts w:ascii="Arial" w:hAnsi="Arial" w:cs="Arial"/>
        </w:rPr>
        <w:t xml:space="preserve">charging annual expense even though in the end the </w:t>
      </w:r>
      <w:r w:rsidR="00B02BD5">
        <w:rPr>
          <w:rFonts w:ascii="Arial" w:hAnsi="Arial" w:cs="Arial"/>
        </w:rPr>
        <w:t xml:space="preserve">fee </w:t>
      </w:r>
      <w:r w:rsidR="00D415C0">
        <w:rPr>
          <w:rFonts w:ascii="Arial" w:hAnsi="Arial" w:cs="Arial"/>
        </w:rPr>
        <w:t>amount would be the same.</w:t>
      </w:r>
      <w:r w:rsidR="00E218C5">
        <w:rPr>
          <w:rFonts w:ascii="Arial" w:hAnsi="Arial" w:cs="Arial"/>
        </w:rPr>
        <w:t xml:space="preserve"> </w:t>
      </w:r>
      <w:r w:rsidR="00E218C5" w:rsidRPr="00F125D9">
        <w:rPr>
          <w:rFonts w:ascii="Arial" w:hAnsi="Arial" w:cs="Arial"/>
          <w:b/>
          <w:bCs/>
        </w:rPr>
        <w:t>People like to pay upfront</w:t>
      </w:r>
      <w:r w:rsidR="00CA3A35" w:rsidRPr="00F125D9">
        <w:rPr>
          <w:rFonts w:ascii="Arial" w:hAnsi="Arial" w:cs="Arial"/>
          <w:b/>
          <w:bCs/>
        </w:rPr>
        <w:t xml:space="preserve"> and don’t want to be reminded for recurring fee</w:t>
      </w:r>
      <w:r w:rsidR="00CA3A35">
        <w:rPr>
          <w:rFonts w:ascii="Arial" w:hAnsi="Arial" w:cs="Arial"/>
        </w:rPr>
        <w:t>.</w:t>
      </w:r>
      <w:r w:rsidR="00AD69E5">
        <w:rPr>
          <w:rFonts w:ascii="Arial" w:hAnsi="Arial" w:cs="Arial"/>
        </w:rPr>
        <w:br/>
      </w:r>
    </w:p>
    <w:p w14:paraId="73D9B2EC" w14:textId="4710DCBE" w:rsidR="00E318D4" w:rsidRDefault="00E318D4" w:rsidP="00E318D4">
      <w:pPr>
        <w:pStyle w:val="ListParagraph"/>
        <w:numPr>
          <w:ilvl w:val="0"/>
          <w:numId w:val="2"/>
        </w:numPr>
        <w:rPr>
          <w:rFonts w:ascii="Arial" w:hAnsi="Arial" w:cs="Arial"/>
        </w:rPr>
      </w:pPr>
      <w:r w:rsidRPr="00CE50A8">
        <w:rPr>
          <w:rFonts w:ascii="Arial" w:hAnsi="Arial" w:cs="Arial"/>
        </w:rPr>
        <w:t>Does the strength of the Fidelity brand name insulate the fund from price competition with Vanguard’s PRIMECAP fund? Why or why not?</w:t>
      </w:r>
      <w:r w:rsidR="00824E6C">
        <w:rPr>
          <w:rFonts w:ascii="Arial" w:hAnsi="Arial" w:cs="Arial"/>
        </w:rPr>
        <w:br/>
      </w:r>
    </w:p>
    <w:p w14:paraId="4099CFF7" w14:textId="72D51342" w:rsidR="004839D3" w:rsidRPr="00CE50A8" w:rsidRDefault="00EF3B5F" w:rsidP="004839D3">
      <w:pPr>
        <w:pStyle w:val="ListParagraph"/>
        <w:numPr>
          <w:ilvl w:val="1"/>
          <w:numId w:val="2"/>
        </w:numPr>
        <w:rPr>
          <w:rFonts w:ascii="Arial" w:hAnsi="Arial" w:cs="Arial"/>
        </w:rPr>
      </w:pPr>
      <w:r>
        <w:rPr>
          <w:rFonts w:ascii="Arial" w:hAnsi="Arial" w:cs="Arial"/>
        </w:rPr>
        <w:t xml:space="preserve">I think </w:t>
      </w:r>
      <w:r w:rsidR="000E03C9">
        <w:rPr>
          <w:rFonts w:ascii="Arial" w:hAnsi="Arial" w:cs="Arial"/>
        </w:rPr>
        <w:t>“</w:t>
      </w:r>
      <w:r>
        <w:rPr>
          <w:rFonts w:ascii="Arial" w:hAnsi="Arial" w:cs="Arial"/>
        </w:rPr>
        <w:t>brand</w:t>
      </w:r>
      <w:r w:rsidR="000E03C9">
        <w:rPr>
          <w:rFonts w:ascii="Arial" w:hAnsi="Arial" w:cs="Arial"/>
        </w:rPr>
        <w:t>”</w:t>
      </w:r>
      <w:r>
        <w:rPr>
          <w:rFonts w:ascii="Arial" w:hAnsi="Arial" w:cs="Arial"/>
        </w:rPr>
        <w:t xml:space="preserve"> </w:t>
      </w:r>
      <w:r w:rsidR="00C92642">
        <w:rPr>
          <w:rFonts w:ascii="Arial" w:hAnsi="Arial" w:cs="Arial"/>
        </w:rPr>
        <w:t>might</w:t>
      </w:r>
      <w:r w:rsidR="00C92642">
        <w:rPr>
          <w:rFonts w:ascii="Arial" w:hAnsi="Arial" w:cs="Arial"/>
        </w:rPr>
        <w:t xml:space="preserve"> </w:t>
      </w:r>
      <w:r>
        <w:rPr>
          <w:rFonts w:ascii="Arial" w:hAnsi="Arial" w:cs="Arial"/>
        </w:rPr>
        <w:t xml:space="preserve">be one of competitive advantages </w:t>
      </w:r>
      <w:r w:rsidR="000E03C9">
        <w:rPr>
          <w:rFonts w:ascii="Arial" w:hAnsi="Arial" w:cs="Arial"/>
        </w:rPr>
        <w:t xml:space="preserve">that Fidelity has </w:t>
      </w:r>
      <w:r>
        <w:rPr>
          <w:rFonts w:ascii="Arial" w:hAnsi="Arial" w:cs="Arial"/>
        </w:rPr>
        <w:t>over</w:t>
      </w:r>
      <w:r w:rsidR="008E3586">
        <w:rPr>
          <w:rFonts w:ascii="Arial" w:hAnsi="Arial" w:cs="Arial"/>
        </w:rPr>
        <w:t xml:space="preserve"> </w:t>
      </w:r>
      <w:r w:rsidR="008E752C">
        <w:rPr>
          <w:rFonts w:ascii="Arial" w:hAnsi="Arial" w:cs="Arial"/>
        </w:rPr>
        <w:t>other</w:t>
      </w:r>
      <w:r>
        <w:rPr>
          <w:rFonts w:ascii="Arial" w:hAnsi="Arial" w:cs="Arial"/>
        </w:rPr>
        <w:t xml:space="preserve"> competitor</w:t>
      </w:r>
      <w:r w:rsidR="008E3586">
        <w:rPr>
          <w:rFonts w:ascii="Arial" w:hAnsi="Arial" w:cs="Arial"/>
        </w:rPr>
        <w:t>s</w:t>
      </w:r>
      <w:r>
        <w:rPr>
          <w:rFonts w:ascii="Arial" w:hAnsi="Arial" w:cs="Arial"/>
        </w:rPr>
        <w:t xml:space="preserve"> and therefore </w:t>
      </w:r>
      <w:r w:rsidR="008E3586">
        <w:rPr>
          <w:rFonts w:ascii="Arial" w:hAnsi="Arial" w:cs="Arial"/>
        </w:rPr>
        <w:t xml:space="preserve">they </w:t>
      </w:r>
      <w:r>
        <w:rPr>
          <w:rFonts w:ascii="Arial" w:hAnsi="Arial" w:cs="Arial"/>
        </w:rPr>
        <w:t xml:space="preserve">have </w:t>
      </w:r>
      <w:r w:rsidR="00333FA2">
        <w:rPr>
          <w:rFonts w:ascii="Arial" w:hAnsi="Arial" w:cs="Arial"/>
        </w:rPr>
        <w:t>“</w:t>
      </w:r>
      <w:r>
        <w:rPr>
          <w:rFonts w:ascii="Arial" w:hAnsi="Arial" w:cs="Arial"/>
        </w:rPr>
        <w:t>some</w:t>
      </w:r>
      <w:r w:rsidR="00333FA2">
        <w:rPr>
          <w:rFonts w:ascii="Arial" w:hAnsi="Arial" w:cs="Arial"/>
        </w:rPr>
        <w:t>”</w:t>
      </w:r>
      <w:r>
        <w:rPr>
          <w:rFonts w:ascii="Arial" w:hAnsi="Arial" w:cs="Arial"/>
        </w:rPr>
        <w:t xml:space="preserve"> pricing power to charge additional fees from their customers.</w:t>
      </w:r>
      <w:r w:rsidR="00697541">
        <w:rPr>
          <w:rFonts w:ascii="Arial" w:hAnsi="Arial" w:cs="Arial"/>
        </w:rPr>
        <w:t xml:space="preserve"> </w:t>
      </w:r>
      <w:r w:rsidR="00242828">
        <w:rPr>
          <w:rFonts w:ascii="Arial" w:hAnsi="Arial" w:cs="Arial"/>
        </w:rPr>
        <w:t>However, should also be cautious, if charging over customers willingness to pay, no matter how big</w:t>
      </w:r>
      <w:r w:rsidR="00AA59C0">
        <w:rPr>
          <w:rFonts w:ascii="Arial" w:hAnsi="Arial" w:cs="Arial"/>
        </w:rPr>
        <w:t xml:space="preserve"> </w:t>
      </w:r>
      <w:r w:rsidR="00242828">
        <w:rPr>
          <w:rFonts w:ascii="Arial" w:hAnsi="Arial" w:cs="Arial"/>
        </w:rPr>
        <w:t>/</w:t>
      </w:r>
      <w:r w:rsidR="00AA59C0">
        <w:rPr>
          <w:rFonts w:ascii="Arial" w:hAnsi="Arial" w:cs="Arial"/>
        </w:rPr>
        <w:t xml:space="preserve"> </w:t>
      </w:r>
      <w:r w:rsidR="00242828">
        <w:rPr>
          <w:rFonts w:ascii="Arial" w:hAnsi="Arial" w:cs="Arial"/>
        </w:rPr>
        <w:t>famous your brand</w:t>
      </w:r>
      <w:r w:rsidR="00D94516">
        <w:rPr>
          <w:rFonts w:ascii="Arial" w:hAnsi="Arial" w:cs="Arial"/>
        </w:rPr>
        <w:t xml:space="preserve"> is</w:t>
      </w:r>
      <w:r w:rsidR="00242828">
        <w:rPr>
          <w:rFonts w:ascii="Arial" w:hAnsi="Arial" w:cs="Arial"/>
        </w:rPr>
        <w:t xml:space="preserve">, </w:t>
      </w:r>
      <w:r w:rsidR="00EB7D00">
        <w:rPr>
          <w:rFonts w:ascii="Arial" w:hAnsi="Arial" w:cs="Arial"/>
        </w:rPr>
        <w:t>customers</w:t>
      </w:r>
      <w:r w:rsidR="00242828">
        <w:rPr>
          <w:rFonts w:ascii="Arial" w:hAnsi="Arial" w:cs="Arial"/>
        </w:rPr>
        <w:t xml:space="preserve"> will</w:t>
      </w:r>
      <w:r w:rsidR="00EB7D00">
        <w:rPr>
          <w:rFonts w:ascii="Arial" w:hAnsi="Arial" w:cs="Arial"/>
        </w:rPr>
        <w:t xml:space="preserve"> still</w:t>
      </w:r>
      <w:r w:rsidR="00242828">
        <w:rPr>
          <w:rFonts w:ascii="Arial" w:hAnsi="Arial" w:cs="Arial"/>
        </w:rPr>
        <w:t xml:space="preserve"> switch to other competitors. </w:t>
      </w:r>
      <w:r w:rsidR="00137450">
        <w:rPr>
          <w:rFonts w:ascii="Arial" w:hAnsi="Arial" w:cs="Arial"/>
        </w:rPr>
        <w:br/>
      </w:r>
    </w:p>
    <w:p w14:paraId="1746B656" w14:textId="35AFD004" w:rsidR="00E318D4" w:rsidRDefault="00E318D4" w:rsidP="00167107">
      <w:pPr>
        <w:pStyle w:val="ListParagraph"/>
        <w:numPr>
          <w:ilvl w:val="0"/>
          <w:numId w:val="2"/>
        </w:numPr>
        <w:jc w:val="center"/>
        <w:rPr>
          <w:rFonts w:ascii="Arial" w:hAnsi="Arial" w:cs="Arial"/>
        </w:rPr>
      </w:pPr>
      <w:r w:rsidRPr="00CE50A8">
        <w:rPr>
          <w:rFonts w:ascii="Arial" w:hAnsi="Arial" w:cs="Arial"/>
        </w:rPr>
        <w:t>What does the conjoint analysis suggest would be the best way for BCGF to generate the 30 percent increase in profit expected by Johnson?</w:t>
      </w:r>
      <w:r w:rsidR="002B6772">
        <w:rPr>
          <w:rFonts w:ascii="Arial" w:hAnsi="Arial" w:cs="Arial"/>
        </w:rPr>
        <w:br/>
      </w:r>
      <w:r w:rsidR="002B6772">
        <w:rPr>
          <w:rFonts w:ascii="Arial" w:hAnsi="Arial" w:cs="Arial"/>
        </w:rPr>
        <w:br/>
      </w:r>
      <w:r w:rsidR="00007CC3">
        <w:rPr>
          <w:rFonts w:ascii="Arial" w:hAnsi="Arial" w:cs="Arial"/>
        </w:rPr>
        <w:t>Customer willingness to pay for each company (</w:t>
      </w:r>
      <w:r w:rsidR="00167107">
        <w:rPr>
          <w:rFonts w:ascii="Arial" w:hAnsi="Arial" w:cs="Arial"/>
        </w:rPr>
        <w:t>number</w:t>
      </w:r>
      <w:r w:rsidR="00681282">
        <w:rPr>
          <w:rFonts w:ascii="Arial" w:hAnsi="Arial" w:cs="Arial"/>
        </w:rPr>
        <w:t>s</w:t>
      </w:r>
      <w:r w:rsidR="00167107">
        <w:rPr>
          <w:rFonts w:ascii="Arial" w:hAnsi="Arial" w:cs="Arial"/>
        </w:rPr>
        <w:t xml:space="preserve"> </w:t>
      </w:r>
      <w:r w:rsidR="00681282">
        <w:rPr>
          <w:rFonts w:ascii="Arial" w:hAnsi="Arial" w:cs="Arial"/>
        </w:rPr>
        <w:t>are</w:t>
      </w:r>
      <w:r w:rsidR="00167107">
        <w:rPr>
          <w:rFonts w:ascii="Arial" w:hAnsi="Arial" w:cs="Arial"/>
        </w:rPr>
        <w:t xml:space="preserve"> </w:t>
      </w:r>
      <w:r w:rsidR="00007CC3">
        <w:rPr>
          <w:rFonts w:ascii="Arial" w:hAnsi="Arial" w:cs="Arial"/>
        </w:rPr>
        <w:t>get from conjoint analysis)</w:t>
      </w:r>
    </w:p>
    <w:p w14:paraId="671CFEF1" w14:textId="2FAA33F4" w:rsidR="00007CC3" w:rsidRDefault="00007CC3" w:rsidP="00007CC3">
      <w:pPr>
        <w:pStyle w:val="ListParagraph"/>
        <w:rPr>
          <w:rFonts w:ascii="Arial" w:hAnsi="Arial" w:cs="Arial"/>
        </w:rPr>
      </w:pPr>
      <w:r w:rsidRPr="00007CC3">
        <w:rPr>
          <w:rFonts w:ascii="Arial" w:hAnsi="Arial" w:cs="Arial"/>
        </w:rPr>
        <w:drawing>
          <wp:inline distT="0" distB="0" distL="0" distR="0" wp14:anchorId="485E23C0" wp14:editId="2615DC1E">
            <wp:extent cx="5334000" cy="1070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8335" cy="1071659"/>
                    </a:xfrm>
                    <a:prstGeom prst="rect">
                      <a:avLst/>
                    </a:prstGeom>
                  </pic:spPr>
                </pic:pic>
              </a:graphicData>
            </a:graphic>
          </wp:inline>
        </w:drawing>
      </w:r>
    </w:p>
    <w:p w14:paraId="2F97F54D" w14:textId="224CC575" w:rsidR="00007CC3" w:rsidRDefault="00007CC3" w:rsidP="00007CC3">
      <w:pPr>
        <w:pStyle w:val="ListParagraph"/>
        <w:rPr>
          <w:rFonts w:ascii="Arial" w:hAnsi="Arial" w:cs="Arial"/>
        </w:rPr>
      </w:pPr>
      <w:r>
        <w:rPr>
          <w:rFonts w:ascii="Arial" w:hAnsi="Arial" w:cs="Arial"/>
        </w:rPr>
        <w:t xml:space="preserve">Fidelity: </w:t>
      </w:r>
      <w:r w:rsidR="00A94008">
        <w:rPr>
          <w:rFonts w:ascii="Arial" w:hAnsi="Arial" w:cs="Arial"/>
        </w:rPr>
        <w:t>0.08+0.88+0.99-1.23+0.05=</w:t>
      </w:r>
      <w:r w:rsidR="00E00146">
        <w:rPr>
          <w:rFonts w:ascii="Arial" w:hAnsi="Arial" w:cs="Arial"/>
        </w:rPr>
        <w:t>0.77</w:t>
      </w:r>
    </w:p>
    <w:p w14:paraId="763FD61E" w14:textId="346ED46C" w:rsidR="00E00146" w:rsidRDefault="00E00146" w:rsidP="00007CC3">
      <w:pPr>
        <w:pStyle w:val="ListParagraph"/>
        <w:rPr>
          <w:rFonts w:ascii="Arial" w:hAnsi="Arial" w:cs="Arial"/>
        </w:rPr>
      </w:pPr>
      <w:r>
        <w:rPr>
          <w:rFonts w:ascii="Arial" w:hAnsi="Arial" w:cs="Arial"/>
        </w:rPr>
        <w:t xml:space="preserve">Vanguard: </w:t>
      </w:r>
      <w:r w:rsidR="00AE6C51">
        <w:rPr>
          <w:rFonts w:ascii="Arial" w:hAnsi="Arial" w:cs="Arial"/>
        </w:rPr>
        <w:t>0.01+0.48+0.5-0.7+0.06=0.35</w:t>
      </w:r>
    </w:p>
    <w:p w14:paraId="1AD8092E" w14:textId="32BD054A" w:rsidR="00AE6C51" w:rsidRDefault="00C41330" w:rsidP="00007CC3">
      <w:pPr>
        <w:pStyle w:val="ListParagraph"/>
        <w:rPr>
          <w:rFonts w:ascii="Arial" w:hAnsi="Arial" w:cs="Arial"/>
        </w:rPr>
      </w:pPr>
      <w:r>
        <w:rPr>
          <w:rFonts w:ascii="Arial" w:hAnsi="Arial" w:cs="Arial"/>
        </w:rPr>
        <w:t xml:space="preserve">T: </w:t>
      </w:r>
      <w:r w:rsidR="00934D6C">
        <w:rPr>
          <w:rFonts w:ascii="Arial" w:hAnsi="Arial" w:cs="Arial"/>
        </w:rPr>
        <w:t>0.08+0.05+0.05-0.06+0.13=0.37</w:t>
      </w:r>
    </w:p>
    <w:p w14:paraId="1880B8CF" w14:textId="7B7B9746" w:rsidR="00934D6C" w:rsidRDefault="000A463F" w:rsidP="00007CC3">
      <w:pPr>
        <w:pStyle w:val="ListParagraph"/>
        <w:rPr>
          <w:rFonts w:ascii="Arial" w:hAnsi="Arial" w:cs="Arial"/>
        </w:rPr>
      </w:pPr>
      <w:r>
        <w:rPr>
          <w:rFonts w:ascii="Arial" w:hAnsi="Arial" w:cs="Arial"/>
        </w:rPr>
        <w:t xml:space="preserve">Dreyfus: </w:t>
      </w:r>
      <w:r w:rsidR="00505555">
        <w:rPr>
          <w:rFonts w:ascii="Arial" w:hAnsi="Arial" w:cs="Arial"/>
        </w:rPr>
        <w:t>0-0.25-0.07+0.76-0.1=0.34</w:t>
      </w:r>
    </w:p>
    <w:p w14:paraId="4F67593B" w14:textId="68D9FA69" w:rsidR="00505555" w:rsidRDefault="009E55EF" w:rsidP="00007CC3">
      <w:pPr>
        <w:pStyle w:val="ListParagraph"/>
        <w:rPr>
          <w:rFonts w:ascii="Arial" w:hAnsi="Arial" w:cs="Arial"/>
        </w:rPr>
      </w:pPr>
      <w:proofErr w:type="spellStart"/>
      <w:r>
        <w:rPr>
          <w:rFonts w:ascii="Arial" w:hAnsi="Arial" w:cs="Arial"/>
        </w:rPr>
        <w:t>Pecunia</w:t>
      </w:r>
      <w:proofErr w:type="spellEnd"/>
      <w:r>
        <w:rPr>
          <w:rFonts w:ascii="Arial" w:hAnsi="Arial" w:cs="Arial"/>
        </w:rPr>
        <w:t xml:space="preserve">: </w:t>
      </w:r>
      <w:r w:rsidR="004C5E14">
        <w:rPr>
          <w:rFonts w:ascii="Arial" w:hAnsi="Arial" w:cs="Arial"/>
        </w:rPr>
        <w:t>-0.17-0.67-0.74+1.23-0.14=-0.49</w:t>
      </w:r>
    </w:p>
    <w:p w14:paraId="0D688CDA" w14:textId="7EF04096" w:rsidR="00AC62EA" w:rsidRDefault="00AC62EA" w:rsidP="00007CC3">
      <w:pPr>
        <w:pStyle w:val="ListParagraph"/>
        <w:rPr>
          <w:rFonts w:ascii="Arial" w:hAnsi="Arial" w:cs="Arial"/>
        </w:rPr>
      </w:pPr>
    </w:p>
    <w:p w14:paraId="61EABFF0" w14:textId="72EFD5B2" w:rsidR="00AC62EA" w:rsidRPr="00CE50A8" w:rsidRDefault="00AC62EA" w:rsidP="00007CC3">
      <w:pPr>
        <w:pStyle w:val="ListParagraph"/>
        <w:rPr>
          <w:rFonts w:ascii="Arial" w:hAnsi="Arial" w:cs="Arial"/>
        </w:rPr>
      </w:pPr>
      <w:r>
        <w:rPr>
          <w:rFonts w:ascii="Arial" w:hAnsi="Arial" w:cs="Arial"/>
        </w:rPr>
        <w:t xml:space="preserve">Among these five companies, </w:t>
      </w:r>
      <w:r w:rsidR="00FB0ECE" w:rsidRPr="00811483">
        <w:rPr>
          <w:rFonts w:ascii="Arial" w:hAnsi="Arial" w:cs="Arial"/>
          <w:b/>
          <w:bCs/>
        </w:rPr>
        <w:t>Fidelity has the highest customers willingness to pay</w:t>
      </w:r>
      <w:r w:rsidR="00EB04A6">
        <w:rPr>
          <w:rFonts w:ascii="Arial" w:hAnsi="Arial" w:cs="Arial"/>
        </w:rPr>
        <w:t xml:space="preserve"> for their product</w:t>
      </w:r>
      <w:r w:rsidR="00FB0ECE">
        <w:rPr>
          <w:rFonts w:ascii="Arial" w:hAnsi="Arial" w:cs="Arial"/>
        </w:rPr>
        <w:t>.</w:t>
      </w:r>
      <w:r w:rsidR="004452E8">
        <w:rPr>
          <w:rFonts w:ascii="Arial" w:hAnsi="Arial" w:cs="Arial"/>
        </w:rPr>
        <w:t xml:space="preserve"> To leverage on this, Fidelity can modify their pricing strategies (ex: charging additional fee </w:t>
      </w:r>
      <w:r w:rsidR="007027C8">
        <w:rPr>
          <w:rFonts w:ascii="Arial" w:hAnsi="Arial" w:cs="Arial"/>
        </w:rPr>
        <w:t xml:space="preserve">like </w:t>
      </w:r>
      <w:bookmarkStart w:id="0" w:name="_GoBack"/>
      <w:bookmarkEnd w:id="0"/>
      <w:r w:rsidR="004452E8">
        <w:rPr>
          <w:rFonts w:ascii="Arial" w:hAnsi="Arial" w:cs="Arial"/>
        </w:rPr>
        <w:t>front-end load</w:t>
      </w:r>
      <w:r w:rsidR="00575C70">
        <w:rPr>
          <w:rFonts w:ascii="Arial" w:hAnsi="Arial" w:cs="Arial"/>
        </w:rPr>
        <w:t xml:space="preserve"> and</w:t>
      </w:r>
      <w:r w:rsidR="004452E8">
        <w:rPr>
          <w:rFonts w:ascii="Arial" w:hAnsi="Arial" w:cs="Arial"/>
        </w:rPr>
        <w:t xml:space="preserve"> annual fee)</w:t>
      </w:r>
      <w:r w:rsidR="000E0403">
        <w:rPr>
          <w:rFonts w:ascii="Arial" w:hAnsi="Arial" w:cs="Arial"/>
        </w:rPr>
        <w:t>.</w:t>
      </w:r>
    </w:p>
    <w:p w14:paraId="62DB4A8C" w14:textId="46C4DEEC" w:rsidR="00CE65C7" w:rsidRDefault="00CE65C7" w:rsidP="00CE65C7">
      <w:pPr>
        <w:rPr>
          <w:rFonts w:ascii="Arial" w:hAnsi="Arial" w:cs="Arial"/>
          <w:b/>
          <w:bCs/>
          <w:u w:val="single"/>
        </w:rPr>
      </w:pPr>
      <w:r w:rsidRPr="00625244">
        <w:rPr>
          <w:rFonts w:ascii="Arial" w:hAnsi="Arial" w:cs="Arial"/>
          <w:b/>
          <w:bCs/>
          <w:u w:val="single"/>
        </w:rPr>
        <w:lastRenderedPageBreak/>
        <w:t>Outline two different approaches</w:t>
      </w:r>
    </w:p>
    <w:p w14:paraId="09A8EBF7" w14:textId="7B02F9C5" w:rsidR="00625244" w:rsidRDefault="00267DCB" w:rsidP="00625244">
      <w:pPr>
        <w:pStyle w:val="ListParagraph"/>
        <w:numPr>
          <w:ilvl w:val="0"/>
          <w:numId w:val="2"/>
        </w:numPr>
        <w:rPr>
          <w:rFonts w:ascii="Arial" w:hAnsi="Arial" w:cs="Arial"/>
        </w:rPr>
      </w:pPr>
      <w:r>
        <w:rPr>
          <w:rFonts w:ascii="Arial" w:hAnsi="Arial" w:cs="Arial"/>
        </w:rPr>
        <w:t>Charging Front-end Load only</w:t>
      </w:r>
    </w:p>
    <w:p w14:paraId="3C34F23A" w14:textId="1339446D" w:rsidR="00267DCB" w:rsidRDefault="00267DCB" w:rsidP="00625244">
      <w:pPr>
        <w:pStyle w:val="ListParagraph"/>
        <w:numPr>
          <w:ilvl w:val="0"/>
          <w:numId w:val="2"/>
        </w:numPr>
        <w:rPr>
          <w:rFonts w:ascii="Arial" w:hAnsi="Arial" w:cs="Arial"/>
        </w:rPr>
      </w:pPr>
      <w:r>
        <w:rPr>
          <w:rFonts w:ascii="Arial" w:hAnsi="Arial" w:cs="Arial"/>
        </w:rPr>
        <w:t>Increasing annual expense only</w:t>
      </w:r>
    </w:p>
    <w:p w14:paraId="1702D008" w14:textId="477A1084" w:rsidR="00267DCB" w:rsidRDefault="00267DCB" w:rsidP="00625244">
      <w:pPr>
        <w:pStyle w:val="ListParagraph"/>
        <w:numPr>
          <w:ilvl w:val="0"/>
          <w:numId w:val="2"/>
        </w:numPr>
        <w:rPr>
          <w:rFonts w:ascii="Arial" w:hAnsi="Arial" w:cs="Arial"/>
        </w:rPr>
      </w:pPr>
      <w:r>
        <w:rPr>
          <w:rFonts w:ascii="Arial" w:hAnsi="Arial" w:cs="Arial"/>
        </w:rPr>
        <w:t>Charging Front-end load + Increasing annual expense</w:t>
      </w:r>
      <w:r w:rsidR="00F81133">
        <w:rPr>
          <w:rFonts w:ascii="Arial" w:hAnsi="Arial" w:cs="Arial"/>
        </w:rPr>
        <w:t xml:space="preserve"> -&gt; since method </w:t>
      </w:r>
      <w:r w:rsidR="009B58CA">
        <w:rPr>
          <w:rFonts w:ascii="Arial" w:hAnsi="Arial" w:cs="Arial"/>
        </w:rPr>
        <w:t xml:space="preserve">2 </w:t>
      </w:r>
      <w:r w:rsidR="00F81133">
        <w:rPr>
          <w:rFonts w:ascii="Arial" w:hAnsi="Arial" w:cs="Arial"/>
        </w:rPr>
        <w:t>alone make the willingness to pay lower than our competitor</w:t>
      </w:r>
      <w:r w:rsidR="009B58CA">
        <w:rPr>
          <w:rFonts w:ascii="Arial" w:hAnsi="Arial" w:cs="Arial"/>
        </w:rPr>
        <w:t xml:space="preserve"> (0.28 &lt; 0.35)</w:t>
      </w:r>
      <w:r w:rsidR="00F81133">
        <w:rPr>
          <w:rFonts w:ascii="Arial" w:hAnsi="Arial" w:cs="Arial"/>
        </w:rPr>
        <w:t>, this method definitely will make things even worse</w:t>
      </w:r>
    </w:p>
    <w:tbl>
      <w:tblPr>
        <w:tblStyle w:val="TableGrid"/>
        <w:tblW w:w="0" w:type="auto"/>
        <w:tblLook w:val="04A0" w:firstRow="1" w:lastRow="0" w:firstColumn="1" w:lastColumn="0" w:noHBand="0" w:noVBand="1"/>
      </w:tblPr>
      <w:tblGrid>
        <w:gridCol w:w="3648"/>
        <w:gridCol w:w="1117"/>
        <w:gridCol w:w="2790"/>
        <w:gridCol w:w="1795"/>
      </w:tblGrid>
      <w:tr w:rsidR="00852F1E" w14:paraId="493B76DF" w14:textId="77777777" w:rsidTr="00811B45">
        <w:tc>
          <w:tcPr>
            <w:tcW w:w="3648" w:type="dxa"/>
          </w:tcPr>
          <w:p w14:paraId="17046631" w14:textId="372A5C3F" w:rsidR="00852F1E" w:rsidRPr="00811B45" w:rsidRDefault="00852F1E" w:rsidP="00811B45">
            <w:pPr>
              <w:jc w:val="center"/>
              <w:rPr>
                <w:rFonts w:ascii="Arial" w:hAnsi="Arial" w:cs="Arial"/>
                <w:b/>
                <w:bCs/>
              </w:rPr>
            </w:pPr>
            <w:r w:rsidRPr="00811B45">
              <w:rPr>
                <w:rFonts w:ascii="Arial" w:hAnsi="Arial" w:cs="Arial"/>
                <w:b/>
                <w:bCs/>
              </w:rPr>
              <w:t>Approaches</w:t>
            </w:r>
          </w:p>
        </w:tc>
        <w:tc>
          <w:tcPr>
            <w:tcW w:w="1117" w:type="dxa"/>
          </w:tcPr>
          <w:p w14:paraId="1ED120FF" w14:textId="554540B8" w:rsidR="00852F1E" w:rsidRPr="00811B45" w:rsidRDefault="00852F1E" w:rsidP="00811B45">
            <w:pPr>
              <w:jc w:val="center"/>
              <w:rPr>
                <w:rFonts w:ascii="Arial" w:hAnsi="Arial" w:cs="Arial"/>
                <w:b/>
                <w:bCs/>
              </w:rPr>
            </w:pPr>
            <w:r w:rsidRPr="00811B45">
              <w:rPr>
                <w:rFonts w:ascii="Arial" w:hAnsi="Arial" w:cs="Arial"/>
                <w:b/>
                <w:bCs/>
              </w:rPr>
              <w:t>WTP</w:t>
            </w:r>
          </w:p>
        </w:tc>
        <w:tc>
          <w:tcPr>
            <w:tcW w:w="2790" w:type="dxa"/>
          </w:tcPr>
          <w:p w14:paraId="57EB9D25" w14:textId="07293DC4" w:rsidR="00852F1E" w:rsidRPr="00811B45" w:rsidRDefault="00852F1E" w:rsidP="00811B45">
            <w:pPr>
              <w:jc w:val="center"/>
              <w:rPr>
                <w:rFonts w:ascii="Arial" w:hAnsi="Arial" w:cs="Arial"/>
                <w:b/>
                <w:bCs/>
              </w:rPr>
            </w:pPr>
            <w:r w:rsidRPr="00811B45">
              <w:rPr>
                <w:rFonts w:ascii="Arial" w:hAnsi="Arial" w:cs="Arial"/>
                <w:b/>
                <w:bCs/>
              </w:rPr>
              <w:t>Vanguard</w:t>
            </w:r>
            <w:r w:rsidRPr="00811B45">
              <w:rPr>
                <w:rFonts w:ascii="Arial" w:hAnsi="Arial" w:cs="Arial"/>
                <w:b/>
                <w:bCs/>
              </w:rPr>
              <w:t xml:space="preserve"> (benchmark)</w:t>
            </w:r>
          </w:p>
        </w:tc>
        <w:tc>
          <w:tcPr>
            <w:tcW w:w="1795" w:type="dxa"/>
          </w:tcPr>
          <w:p w14:paraId="04F86B5D" w14:textId="7BB18796" w:rsidR="00852F1E" w:rsidRPr="00811B45" w:rsidRDefault="00852F1E" w:rsidP="00811B45">
            <w:pPr>
              <w:jc w:val="center"/>
              <w:rPr>
                <w:rFonts w:ascii="Arial" w:hAnsi="Arial" w:cs="Arial"/>
                <w:b/>
                <w:bCs/>
              </w:rPr>
            </w:pPr>
            <w:r w:rsidRPr="00811B45">
              <w:rPr>
                <w:rFonts w:ascii="Arial" w:hAnsi="Arial" w:cs="Arial"/>
                <w:b/>
                <w:bCs/>
              </w:rPr>
              <w:t>Difference</w:t>
            </w:r>
          </w:p>
        </w:tc>
      </w:tr>
      <w:tr w:rsidR="00852F1E" w14:paraId="6CEF0740" w14:textId="77777777" w:rsidTr="00811B45">
        <w:tc>
          <w:tcPr>
            <w:tcW w:w="3648" w:type="dxa"/>
          </w:tcPr>
          <w:p w14:paraId="094C29AC" w14:textId="66372715" w:rsidR="00852F1E" w:rsidRDefault="00852F1E" w:rsidP="007374EB">
            <w:pPr>
              <w:rPr>
                <w:rFonts w:ascii="Arial" w:hAnsi="Arial" w:cs="Arial"/>
              </w:rPr>
            </w:pPr>
            <w:r>
              <w:rPr>
                <w:rFonts w:ascii="Arial" w:hAnsi="Arial" w:cs="Arial"/>
              </w:rPr>
              <w:t xml:space="preserve"> </w:t>
            </w:r>
            <w:r w:rsidRPr="00852F1E">
              <w:rPr>
                <w:rFonts w:ascii="Arial" w:hAnsi="Arial" w:cs="Arial"/>
              </w:rPr>
              <w:t>Charging Front-end Load only</w:t>
            </w:r>
          </w:p>
        </w:tc>
        <w:tc>
          <w:tcPr>
            <w:tcW w:w="1117" w:type="dxa"/>
            <w:shd w:val="clear" w:color="auto" w:fill="BFBFBF" w:themeFill="background1" w:themeFillShade="BF"/>
          </w:tcPr>
          <w:p w14:paraId="49E76B19" w14:textId="77777777" w:rsidR="00852F1E" w:rsidRPr="00811B45" w:rsidRDefault="00852F1E" w:rsidP="007374EB">
            <w:pPr>
              <w:rPr>
                <w:rFonts w:ascii="Arial" w:hAnsi="Arial" w:cs="Arial"/>
                <w:highlight w:val="yellow"/>
              </w:rPr>
            </w:pPr>
          </w:p>
        </w:tc>
        <w:tc>
          <w:tcPr>
            <w:tcW w:w="2790" w:type="dxa"/>
            <w:shd w:val="clear" w:color="auto" w:fill="BFBFBF" w:themeFill="background1" w:themeFillShade="BF"/>
          </w:tcPr>
          <w:p w14:paraId="4E048016" w14:textId="77777777" w:rsidR="00852F1E" w:rsidRPr="00811B45" w:rsidRDefault="00852F1E" w:rsidP="007374EB">
            <w:pPr>
              <w:rPr>
                <w:rFonts w:ascii="Arial" w:hAnsi="Arial" w:cs="Arial"/>
                <w:highlight w:val="yellow"/>
              </w:rPr>
            </w:pPr>
          </w:p>
        </w:tc>
        <w:tc>
          <w:tcPr>
            <w:tcW w:w="1795" w:type="dxa"/>
            <w:shd w:val="clear" w:color="auto" w:fill="BFBFBF" w:themeFill="background1" w:themeFillShade="BF"/>
          </w:tcPr>
          <w:p w14:paraId="1DB2BC50" w14:textId="77777777" w:rsidR="00852F1E" w:rsidRPr="00811B45" w:rsidRDefault="00852F1E" w:rsidP="007374EB">
            <w:pPr>
              <w:rPr>
                <w:rFonts w:ascii="Arial" w:hAnsi="Arial" w:cs="Arial"/>
                <w:highlight w:val="yellow"/>
              </w:rPr>
            </w:pPr>
          </w:p>
        </w:tc>
      </w:tr>
      <w:tr w:rsidR="00852F1E" w14:paraId="5C48C896" w14:textId="77777777" w:rsidTr="00811B45">
        <w:tc>
          <w:tcPr>
            <w:tcW w:w="3648" w:type="dxa"/>
          </w:tcPr>
          <w:p w14:paraId="28F61950" w14:textId="668EFA67" w:rsidR="00852F1E" w:rsidRDefault="00811B45" w:rsidP="007374EB">
            <w:pPr>
              <w:rPr>
                <w:rFonts w:ascii="Arial" w:hAnsi="Arial" w:cs="Arial"/>
              </w:rPr>
            </w:pPr>
            <w:r>
              <w:rPr>
                <w:rFonts w:ascii="Arial" w:hAnsi="Arial" w:cs="Arial"/>
              </w:rPr>
              <w:t xml:space="preserve">    1 %</w:t>
            </w:r>
          </w:p>
        </w:tc>
        <w:tc>
          <w:tcPr>
            <w:tcW w:w="1117" w:type="dxa"/>
          </w:tcPr>
          <w:p w14:paraId="0435DDAB" w14:textId="0E613E52" w:rsidR="00852F1E" w:rsidRDefault="00811B45" w:rsidP="007374EB">
            <w:pPr>
              <w:rPr>
                <w:rFonts w:ascii="Arial" w:hAnsi="Arial" w:cs="Arial"/>
              </w:rPr>
            </w:pPr>
            <w:r>
              <w:rPr>
                <w:rFonts w:ascii="Arial" w:hAnsi="Arial" w:cs="Arial"/>
              </w:rPr>
              <w:t>0.37</w:t>
            </w:r>
          </w:p>
        </w:tc>
        <w:tc>
          <w:tcPr>
            <w:tcW w:w="2790" w:type="dxa"/>
          </w:tcPr>
          <w:p w14:paraId="2185A72A" w14:textId="2D27374E" w:rsidR="00852F1E" w:rsidRDefault="00811B45" w:rsidP="007374EB">
            <w:pPr>
              <w:rPr>
                <w:rFonts w:ascii="Arial" w:hAnsi="Arial" w:cs="Arial"/>
              </w:rPr>
            </w:pPr>
            <w:r>
              <w:rPr>
                <w:rFonts w:ascii="Arial" w:hAnsi="Arial" w:cs="Arial"/>
              </w:rPr>
              <w:t>0.35</w:t>
            </w:r>
          </w:p>
        </w:tc>
        <w:tc>
          <w:tcPr>
            <w:tcW w:w="1795" w:type="dxa"/>
          </w:tcPr>
          <w:p w14:paraId="1F6AB905" w14:textId="1280985B" w:rsidR="00852F1E" w:rsidRDefault="00811B45" w:rsidP="007374EB">
            <w:pPr>
              <w:rPr>
                <w:rFonts w:ascii="Arial" w:hAnsi="Arial" w:cs="Arial"/>
              </w:rPr>
            </w:pPr>
            <w:r>
              <w:rPr>
                <w:rFonts w:ascii="Arial" w:hAnsi="Arial" w:cs="Arial"/>
              </w:rPr>
              <w:t>+0.02</w:t>
            </w:r>
          </w:p>
        </w:tc>
      </w:tr>
      <w:tr w:rsidR="00811B45" w14:paraId="1FC09917" w14:textId="77777777" w:rsidTr="00811B45">
        <w:tc>
          <w:tcPr>
            <w:tcW w:w="3648" w:type="dxa"/>
          </w:tcPr>
          <w:p w14:paraId="5E01C1B3" w14:textId="2BEFF9BC" w:rsidR="00811B45" w:rsidRDefault="00811B45" w:rsidP="007374EB">
            <w:pPr>
              <w:rPr>
                <w:rFonts w:ascii="Arial" w:hAnsi="Arial" w:cs="Arial"/>
              </w:rPr>
            </w:pPr>
            <w:r>
              <w:rPr>
                <w:rFonts w:ascii="Arial" w:hAnsi="Arial" w:cs="Arial"/>
              </w:rPr>
              <w:t xml:space="preserve">    2 %</w:t>
            </w:r>
          </w:p>
        </w:tc>
        <w:tc>
          <w:tcPr>
            <w:tcW w:w="1117" w:type="dxa"/>
          </w:tcPr>
          <w:p w14:paraId="0470DA21" w14:textId="0D748D61" w:rsidR="00811B45" w:rsidRDefault="00811B45" w:rsidP="007374EB">
            <w:pPr>
              <w:rPr>
                <w:rFonts w:ascii="Arial" w:hAnsi="Arial" w:cs="Arial"/>
              </w:rPr>
            </w:pPr>
            <w:r>
              <w:rPr>
                <w:rFonts w:ascii="Arial" w:hAnsi="Arial" w:cs="Arial"/>
              </w:rPr>
              <w:t>-0.06</w:t>
            </w:r>
          </w:p>
        </w:tc>
        <w:tc>
          <w:tcPr>
            <w:tcW w:w="2790" w:type="dxa"/>
          </w:tcPr>
          <w:p w14:paraId="786CDF41" w14:textId="44B04783" w:rsidR="00811B45" w:rsidRDefault="00811B45" w:rsidP="007374EB">
            <w:pPr>
              <w:rPr>
                <w:rFonts w:ascii="Arial" w:hAnsi="Arial" w:cs="Arial"/>
              </w:rPr>
            </w:pPr>
            <w:r>
              <w:rPr>
                <w:rFonts w:ascii="Arial" w:hAnsi="Arial" w:cs="Arial"/>
              </w:rPr>
              <w:t>0.35</w:t>
            </w:r>
          </w:p>
        </w:tc>
        <w:tc>
          <w:tcPr>
            <w:tcW w:w="1795" w:type="dxa"/>
          </w:tcPr>
          <w:p w14:paraId="03BDB475" w14:textId="4181BB16" w:rsidR="00811B45" w:rsidRDefault="00811B45" w:rsidP="007374EB">
            <w:pPr>
              <w:rPr>
                <w:rFonts w:ascii="Arial" w:hAnsi="Arial" w:cs="Arial"/>
              </w:rPr>
            </w:pPr>
            <w:r w:rsidRPr="00811B45">
              <w:rPr>
                <w:rFonts w:ascii="Arial" w:hAnsi="Arial" w:cs="Arial"/>
                <w:color w:val="FF0000"/>
              </w:rPr>
              <w:t>(-0.41)</w:t>
            </w:r>
          </w:p>
        </w:tc>
      </w:tr>
      <w:tr w:rsidR="00811B45" w14:paraId="6A34FE7F" w14:textId="77777777" w:rsidTr="00811B45">
        <w:tc>
          <w:tcPr>
            <w:tcW w:w="3648" w:type="dxa"/>
          </w:tcPr>
          <w:p w14:paraId="2B0658FC" w14:textId="3411A0B9" w:rsidR="00811B45" w:rsidRDefault="00811B45" w:rsidP="007374EB">
            <w:pPr>
              <w:rPr>
                <w:rFonts w:ascii="Arial" w:hAnsi="Arial" w:cs="Arial"/>
              </w:rPr>
            </w:pPr>
            <w:r>
              <w:rPr>
                <w:rFonts w:ascii="Arial" w:hAnsi="Arial" w:cs="Arial"/>
              </w:rPr>
              <w:t xml:space="preserve"> </w:t>
            </w:r>
            <w:r w:rsidRPr="00811B45">
              <w:rPr>
                <w:rFonts w:ascii="Arial" w:hAnsi="Arial" w:cs="Arial"/>
              </w:rPr>
              <w:t>Increasing annual expense only</w:t>
            </w:r>
          </w:p>
        </w:tc>
        <w:tc>
          <w:tcPr>
            <w:tcW w:w="1117" w:type="dxa"/>
            <w:shd w:val="clear" w:color="auto" w:fill="BFBFBF" w:themeFill="background1" w:themeFillShade="BF"/>
          </w:tcPr>
          <w:p w14:paraId="2D90898C" w14:textId="77777777" w:rsidR="00811B45" w:rsidRDefault="00811B45" w:rsidP="007374EB">
            <w:pPr>
              <w:rPr>
                <w:rFonts w:ascii="Arial" w:hAnsi="Arial" w:cs="Arial"/>
              </w:rPr>
            </w:pPr>
          </w:p>
        </w:tc>
        <w:tc>
          <w:tcPr>
            <w:tcW w:w="2790" w:type="dxa"/>
            <w:shd w:val="clear" w:color="auto" w:fill="BFBFBF" w:themeFill="background1" w:themeFillShade="BF"/>
          </w:tcPr>
          <w:p w14:paraId="1CF99D13" w14:textId="77777777" w:rsidR="00811B45" w:rsidRDefault="00811B45" w:rsidP="007374EB">
            <w:pPr>
              <w:rPr>
                <w:rFonts w:ascii="Arial" w:hAnsi="Arial" w:cs="Arial"/>
              </w:rPr>
            </w:pPr>
          </w:p>
        </w:tc>
        <w:tc>
          <w:tcPr>
            <w:tcW w:w="1795" w:type="dxa"/>
            <w:shd w:val="clear" w:color="auto" w:fill="BFBFBF" w:themeFill="background1" w:themeFillShade="BF"/>
          </w:tcPr>
          <w:p w14:paraId="2F0B93E2" w14:textId="77777777" w:rsidR="00811B45" w:rsidRDefault="00811B45" w:rsidP="007374EB">
            <w:pPr>
              <w:rPr>
                <w:rFonts w:ascii="Arial" w:hAnsi="Arial" w:cs="Arial"/>
              </w:rPr>
            </w:pPr>
          </w:p>
        </w:tc>
      </w:tr>
      <w:tr w:rsidR="00811B45" w14:paraId="77196BA0" w14:textId="77777777" w:rsidTr="00811B45">
        <w:tc>
          <w:tcPr>
            <w:tcW w:w="3648" w:type="dxa"/>
          </w:tcPr>
          <w:p w14:paraId="0E142D39" w14:textId="09AB6EC0" w:rsidR="00811B45" w:rsidRDefault="00811B45" w:rsidP="007374EB">
            <w:pPr>
              <w:rPr>
                <w:rFonts w:ascii="Arial" w:hAnsi="Arial" w:cs="Arial"/>
              </w:rPr>
            </w:pPr>
            <w:r>
              <w:rPr>
                <w:rFonts w:ascii="Arial" w:hAnsi="Arial" w:cs="Arial"/>
              </w:rPr>
              <w:t xml:space="preserve">    0.5 %</w:t>
            </w:r>
          </w:p>
        </w:tc>
        <w:tc>
          <w:tcPr>
            <w:tcW w:w="1117" w:type="dxa"/>
          </w:tcPr>
          <w:p w14:paraId="3717AA71" w14:textId="77A879E4" w:rsidR="00811B45" w:rsidRDefault="00811B45" w:rsidP="007374EB">
            <w:pPr>
              <w:rPr>
                <w:rFonts w:ascii="Arial" w:hAnsi="Arial" w:cs="Arial"/>
              </w:rPr>
            </w:pPr>
            <w:r>
              <w:rPr>
                <w:rFonts w:ascii="Arial" w:hAnsi="Arial" w:cs="Arial"/>
              </w:rPr>
              <w:t>0.28</w:t>
            </w:r>
          </w:p>
        </w:tc>
        <w:tc>
          <w:tcPr>
            <w:tcW w:w="2790" w:type="dxa"/>
          </w:tcPr>
          <w:p w14:paraId="21F27683" w14:textId="033547D1" w:rsidR="00811B45" w:rsidRDefault="00811B45" w:rsidP="007374EB">
            <w:pPr>
              <w:rPr>
                <w:rFonts w:ascii="Arial" w:hAnsi="Arial" w:cs="Arial"/>
              </w:rPr>
            </w:pPr>
            <w:r>
              <w:rPr>
                <w:rFonts w:ascii="Arial" w:hAnsi="Arial" w:cs="Arial"/>
              </w:rPr>
              <w:t>0.35</w:t>
            </w:r>
          </w:p>
        </w:tc>
        <w:tc>
          <w:tcPr>
            <w:tcW w:w="1795" w:type="dxa"/>
          </w:tcPr>
          <w:p w14:paraId="6DB941AD" w14:textId="4687180B" w:rsidR="00811B45" w:rsidRDefault="00811B45" w:rsidP="007374EB">
            <w:pPr>
              <w:rPr>
                <w:rFonts w:ascii="Arial" w:hAnsi="Arial" w:cs="Arial"/>
              </w:rPr>
            </w:pPr>
            <w:r>
              <w:rPr>
                <w:rFonts w:ascii="Arial" w:hAnsi="Arial" w:cs="Arial"/>
              </w:rPr>
              <w:t>(-0.07)</w:t>
            </w:r>
          </w:p>
        </w:tc>
      </w:tr>
    </w:tbl>
    <w:p w14:paraId="45BAF292" w14:textId="77777777" w:rsidR="00AC160F" w:rsidRPr="00AC160F" w:rsidRDefault="00AC160F" w:rsidP="00AC160F">
      <w:pPr>
        <w:rPr>
          <w:rFonts w:ascii="Arial" w:hAnsi="Arial" w:cs="Arial"/>
        </w:rPr>
      </w:pPr>
    </w:p>
    <w:p w14:paraId="29CE2ECE" w14:textId="273D55A3" w:rsidR="00CE65C7" w:rsidRDefault="00CE50A8" w:rsidP="00CE65C7">
      <w:pPr>
        <w:rPr>
          <w:rFonts w:ascii="Arial" w:hAnsi="Arial" w:cs="Arial"/>
          <w:b/>
          <w:bCs/>
          <w:u w:val="single"/>
        </w:rPr>
      </w:pPr>
      <w:r w:rsidRPr="00166109">
        <w:rPr>
          <w:rFonts w:ascii="Arial" w:hAnsi="Arial" w:cs="Arial"/>
          <w:b/>
          <w:bCs/>
          <w:u w:val="single"/>
        </w:rPr>
        <w:t>Recommend a specific course of action (products and prices)</w:t>
      </w:r>
    </w:p>
    <w:p w14:paraId="43C12F7D" w14:textId="4E7571EA" w:rsidR="00E87930" w:rsidRDefault="00B232A5" w:rsidP="00CE65C7">
      <w:pPr>
        <w:rPr>
          <w:rFonts w:ascii="Arial" w:hAnsi="Arial" w:cs="Arial"/>
        </w:rPr>
      </w:pPr>
      <w:r>
        <w:rPr>
          <w:rFonts w:ascii="Arial" w:hAnsi="Arial" w:cs="Arial"/>
        </w:rPr>
        <w:t>Given above analysis, F</w:t>
      </w:r>
      <w:r w:rsidR="00273516">
        <w:rPr>
          <w:rFonts w:ascii="Arial" w:hAnsi="Arial" w:cs="Arial"/>
        </w:rPr>
        <w:t xml:space="preserve">idelity can only use </w:t>
      </w:r>
      <w:r w:rsidR="00273516" w:rsidRPr="003F3015">
        <w:rPr>
          <w:rFonts w:ascii="Arial" w:hAnsi="Arial" w:cs="Arial"/>
          <w:b/>
          <w:bCs/>
        </w:rPr>
        <w:t>approach 1</w:t>
      </w:r>
      <w:r w:rsidR="00273516">
        <w:rPr>
          <w:rFonts w:ascii="Arial" w:hAnsi="Arial" w:cs="Arial"/>
        </w:rPr>
        <w:t xml:space="preserve"> which is </w:t>
      </w:r>
      <w:r w:rsidR="00273516" w:rsidRPr="0015699B">
        <w:rPr>
          <w:rFonts w:ascii="Arial" w:hAnsi="Arial" w:cs="Arial"/>
          <w:b/>
          <w:bCs/>
        </w:rPr>
        <w:t>charging front-end load 1%</w:t>
      </w:r>
      <w:r w:rsidR="00273516">
        <w:rPr>
          <w:rFonts w:ascii="Arial" w:hAnsi="Arial" w:cs="Arial"/>
        </w:rPr>
        <w:t xml:space="preserve"> more than current situation. </w:t>
      </w:r>
      <w:r w:rsidR="00E87930">
        <w:rPr>
          <w:rFonts w:ascii="Arial" w:hAnsi="Arial" w:cs="Arial"/>
        </w:rPr>
        <w:t>By doing so, our customer willingness to pay still higher than our competitor by 0.02. But to justify whether</w:t>
      </w:r>
      <w:r w:rsidR="00BD00A0">
        <w:rPr>
          <w:rFonts w:ascii="Arial" w:hAnsi="Arial" w:cs="Arial"/>
        </w:rPr>
        <w:t xml:space="preserve"> </w:t>
      </w:r>
      <w:r w:rsidR="007B66FF">
        <w:rPr>
          <w:rFonts w:ascii="Arial" w:hAnsi="Arial" w:cs="Arial"/>
        </w:rPr>
        <w:t>this strategy</w:t>
      </w:r>
      <w:r w:rsidR="00BD00A0">
        <w:rPr>
          <w:rFonts w:ascii="Arial" w:hAnsi="Arial" w:cs="Arial"/>
        </w:rPr>
        <w:t xml:space="preserve"> can optimize </w:t>
      </w:r>
      <w:r w:rsidR="007B66FF">
        <w:rPr>
          <w:rFonts w:ascii="Arial" w:hAnsi="Arial" w:cs="Arial"/>
        </w:rPr>
        <w:t>company’s</w:t>
      </w:r>
      <w:r w:rsidR="00BD00A0">
        <w:rPr>
          <w:rFonts w:ascii="Arial" w:hAnsi="Arial" w:cs="Arial"/>
        </w:rPr>
        <w:t xml:space="preserve"> profit</w:t>
      </w:r>
      <w:r w:rsidR="00E87930">
        <w:rPr>
          <w:rFonts w:ascii="Arial" w:hAnsi="Arial" w:cs="Arial"/>
        </w:rPr>
        <w:t>, we need more detail market analysis to determine</w:t>
      </w:r>
      <w:r w:rsidR="00BD00A0">
        <w:rPr>
          <w:rFonts w:ascii="Arial" w:hAnsi="Arial" w:cs="Arial"/>
        </w:rPr>
        <w:t xml:space="preserve"> since given current data point we are not able to know what’s </w:t>
      </w:r>
      <w:r w:rsidR="000B1F71">
        <w:rPr>
          <w:rFonts w:ascii="Arial" w:hAnsi="Arial" w:cs="Arial"/>
        </w:rPr>
        <w:t>our</w:t>
      </w:r>
      <w:r w:rsidR="00BD00A0">
        <w:rPr>
          <w:rFonts w:ascii="Arial" w:hAnsi="Arial" w:cs="Arial"/>
        </w:rPr>
        <w:t xml:space="preserve"> customer price elasticity and how market demand will react according to the new price schema</w:t>
      </w:r>
      <w:r w:rsidR="00E87930">
        <w:rPr>
          <w:rFonts w:ascii="Arial" w:hAnsi="Arial" w:cs="Arial"/>
        </w:rPr>
        <w:t>.</w:t>
      </w:r>
    </w:p>
    <w:p w14:paraId="770B0A01" w14:textId="133EFB15" w:rsidR="00BE5BBA" w:rsidRPr="00B232A5" w:rsidRDefault="00BE5BBA" w:rsidP="00CE65C7">
      <w:pPr>
        <w:rPr>
          <w:rFonts w:ascii="Arial" w:hAnsi="Arial" w:cs="Arial"/>
        </w:rPr>
      </w:pPr>
    </w:p>
    <w:sectPr w:rsidR="00BE5BBA" w:rsidRPr="00B2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D392C"/>
    <w:multiLevelType w:val="hybridMultilevel"/>
    <w:tmpl w:val="3CD4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B0160"/>
    <w:multiLevelType w:val="multilevel"/>
    <w:tmpl w:val="C0C2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1A"/>
    <w:rsid w:val="00007CC3"/>
    <w:rsid w:val="0004012E"/>
    <w:rsid w:val="000A463F"/>
    <w:rsid w:val="000B1F71"/>
    <w:rsid w:val="000E03C9"/>
    <w:rsid w:val="000E0403"/>
    <w:rsid w:val="00137450"/>
    <w:rsid w:val="0015699B"/>
    <w:rsid w:val="00166109"/>
    <w:rsid w:val="00167107"/>
    <w:rsid w:val="0017602D"/>
    <w:rsid w:val="001E5229"/>
    <w:rsid w:val="00242828"/>
    <w:rsid w:val="00267DCB"/>
    <w:rsid w:val="00273516"/>
    <w:rsid w:val="002876E8"/>
    <w:rsid w:val="00292BCC"/>
    <w:rsid w:val="002B32A1"/>
    <w:rsid w:val="002B6772"/>
    <w:rsid w:val="00333FA2"/>
    <w:rsid w:val="003F3015"/>
    <w:rsid w:val="00410CEA"/>
    <w:rsid w:val="0042647F"/>
    <w:rsid w:val="004452E8"/>
    <w:rsid w:val="004839D3"/>
    <w:rsid w:val="004C5E14"/>
    <w:rsid w:val="005046AF"/>
    <w:rsid w:val="00505555"/>
    <w:rsid w:val="00570F35"/>
    <w:rsid w:val="005733DA"/>
    <w:rsid w:val="00575C70"/>
    <w:rsid w:val="005A048A"/>
    <w:rsid w:val="00625244"/>
    <w:rsid w:val="00627F35"/>
    <w:rsid w:val="00681282"/>
    <w:rsid w:val="00697541"/>
    <w:rsid w:val="007027C8"/>
    <w:rsid w:val="007374EB"/>
    <w:rsid w:val="007B66FF"/>
    <w:rsid w:val="00811483"/>
    <w:rsid w:val="00811B45"/>
    <w:rsid w:val="00824E6C"/>
    <w:rsid w:val="00852F1E"/>
    <w:rsid w:val="008C456B"/>
    <w:rsid w:val="008E3586"/>
    <w:rsid w:val="008E752C"/>
    <w:rsid w:val="00934D6C"/>
    <w:rsid w:val="00966C0E"/>
    <w:rsid w:val="009B58CA"/>
    <w:rsid w:val="009E55EF"/>
    <w:rsid w:val="00A94008"/>
    <w:rsid w:val="00AA59C0"/>
    <w:rsid w:val="00AC160F"/>
    <w:rsid w:val="00AC62EA"/>
    <w:rsid w:val="00AD69E5"/>
    <w:rsid w:val="00AE6C51"/>
    <w:rsid w:val="00B02BD5"/>
    <w:rsid w:val="00B232A5"/>
    <w:rsid w:val="00B94905"/>
    <w:rsid w:val="00BD00A0"/>
    <w:rsid w:val="00BE5BBA"/>
    <w:rsid w:val="00C41330"/>
    <w:rsid w:val="00C775CA"/>
    <w:rsid w:val="00C92642"/>
    <w:rsid w:val="00CA3A35"/>
    <w:rsid w:val="00CD0031"/>
    <w:rsid w:val="00CD281A"/>
    <w:rsid w:val="00CE50A8"/>
    <w:rsid w:val="00CE65C7"/>
    <w:rsid w:val="00D415C0"/>
    <w:rsid w:val="00D94516"/>
    <w:rsid w:val="00E00146"/>
    <w:rsid w:val="00E02F05"/>
    <w:rsid w:val="00E218C5"/>
    <w:rsid w:val="00E318D4"/>
    <w:rsid w:val="00E87930"/>
    <w:rsid w:val="00EB04A6"/>
    <w:rsid w:val="00EB7D00"/>
    <w:rsid w:val="00EF3B5F"/>
    <w:rsid w:val="00F125D9"/>
    <w:rsid w:val="00F81133"/>
    <w:rsid w:val="00FA68C6"/>
    <w:rsid w:val="00FB0E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B1F7"/>
  <w15:chartTrackingRefBased/>
  <w15:docId w15:val="{6F28B0F0-70D5-4F05-BF03-B98E30D8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8D4"/>
    <w:pPr>
      <w:ind w:left="720"/>
      <w:contextualSpacing/>
    </w:pPr>
  </w:style>
  <w:style w:type="table" w:styleId="TableGrid">
    <w:name w:val="Table Grid"/>
    <w:basedOn w:val="TableNormal"/>
    <w:uiPriority w:val="39"/>
    <w:rsid w:val="0085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24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chloe</cp:lastModifiedBy>
  <cp:revision>82</cp:revision>
  <cp:lastPrinted>2019-12-29T01:33:00Z</cp:lastPrinted>
  <dcterms:created xsi:type="dcterms:W3CDTF">2019-12-28T20:55:00Z</dcterms:created>
  <dcterms:modified xsi:type="dcterms:W3CDTF">2019-12-29T01:36:00Z</dcterms:modified>
</cp:coreProperties>
</file>