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072C3AB" wp14:paraId="01069A04" wp14:textId="31A78F0E">
      <w:pPr>
        <w:spacing w:line="480" w:lineRule="auto"/>
        <w:rPr>
          <w:rFonts w:ascii="Times New Roman" w:hAnsi="Times New Roman" w:eastAsia="Times New Roman" w:cs="Times New Roman"/>
        </w:rPr>
      </w:pPr>
    </w:p>
    <w:p xmlns:wp14="http://schemas.microsoft.com/office/word/2010/wordml" w:rsidP="0072C3AB" wp14:paraId="069C0A19" wp14:textId="440783F4">
      <w:pPr>
        <w:spacing w:line="480" w:lineRule="auto"/>
        <w:rPr>
          <w:rFonts w:ascii="Times New Roman" w:hAnsi="Times New Roman" w:eastAsia="Times New Roman" w:cs="Times New Roman"/>
        </w:rPr>
      </w:pPr>
    </w:p>
    <w:p xmlns:wp14="http://schemas.microsoft.com/office/word/2010/wordml" w:rsidP="0072C3AB" wp14:paraId="745E69A5" wp14:textId="02453E2A">
      <w:pPr>
        <w:spacing w:line="480" w:lineRule="auto"/>
        <w:rPr>
          <w:rFonts w:ascii="Times New Roman" w:hAnsi="Times New Roman" w:eastAsia="Times New Roman" w:cs="Times New Roman"/>
        </w:rPr>
      </w:pPr>
    </w:p>
    <w:p xmlns:wp14="http://schemas.microsoft.com/office/word/2010/wordml" w:rsidP="0072C3AB" wp14:paraId="7A8B3DC2" wp14:textId="4208EF43">
      <w:pPr>
        <w:spacing w:line="480" w:lineRule="auto"/>
        <w:rPr>
          <w:rFonts w:ascii="Times New Roman" w:hAnsi="Times New Roman" w:eastAsia="Times New Roman" w:cs="Times New Roman"/>
        </w:rPr>
      </w:pPr>
    </w:p>
    <w:p xmlns:wp14="http://schemas.microsoft.com/office/word/2010/wordml" w:rsidP="0072C3AB" wp14:paraId="47A5A528" wp14:textId="27730D13">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NHIS 2021 Data Analysis Group Project</w:t>
      </w:r>
    </w:p>
    <w:p xmlns:wp14="http://schemas.microsoft.com/office/word/2010/wordml" w:rsidP="0072C3AB" wp14:paraId="3C8808C9" wp14:textId="413F92B6">
      <w:pPr>
        <w:spacing w:line="480" w:lineRule="auto"/>
        <w:rPr>
          <w:rFonts w:ascii="Times New Roman" w:hAnsi="Times New Roman" w:eastAsia="Times New Roman" w:cs="Times New Roman"/>
        </w:rPr>
      </w:pPr>
    </w:p>
    <w:p xmlns:wp14="http://schemas.microsoft.com/office/word/2010/wordml" w:rsidP="0072C3AB" wp14:paraId="59156C76" wp14:textId="1D728C7A">
      <w:pPr>
        <w:spacing w:before="0" w:beforeAutospacing="off" w:after="20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Chloe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Carigo</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Kimberly Carmona, &amp; Giselle Escala</w:t>
      </w:r>
    </w:p>
    <w:p xmlns:wp14="http://schemas.microsoft.com/office/word/2010/wordml" w:rsidP="0072C3AB" wp14:paraId="65A6DDFD" wp14:textId="5F2D522F">
      <w:pPr>
        <w:spacing w:before="0" w:beforeAutospacing="off" w:after="20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Department of Public Health, California State University, Fullerton</w:t>
      </w:r>
    </w:p>
    <w:p xmlns:wp14="http://schemas.microsoft.com/office/word/2010/wordml" w:rsidP="0072C3AB" wp14:paraId="09ED2A79" wp14:textId="1B3279AA">
      <w:pPr>
        <w:spacing w:before="0" w:beforeAutospacing="off" w:after="20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PUBH 422: Statistical Programming in Health Data Management and Visualization</w:t>
      </w:r>
    </w:p>
    <w:p xmlns:wp14="http://schemas.microsoft.com/office/word/2010/wordml" w:rsidP="0072C3AB" wp14:paraId="1D1B5270" wp14:textId="17EA1B99">
      <w:pPr>
        <w:spacing w:before="0" w:beforeAutospacing="off" w:after="20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Dr.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Lohuwa</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Mamudu</w:t>
      </w:r>
    </w:p>
    <w:p xmlns:wp14="http://schemas.microsoft.com/office/word/2010/wordml" w:rsidP="0072C3AB" wp14:paraId="53A6DB61" wp14:textId="36CB5B30">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November 23, 2025</w:t>
      </w:r>
    </w:p>
    <w:p xmlns:wp14="http://schemas.microsoft.com/office/word/2010/wordml" w:rsidP="0072C3AB" wp14:paraId="0A289804" wp14:textId="16B49D62">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422E9D98" wp14:textId="0ED3BEA5">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1D0ABC59" wp14:textId="54D9A08D">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62DB90F6" wp14:textId="5B10C23E">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7ADB0BCD" wp14:textId="4707E239">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770630D6" wp14:textId="776D7F8A">
      <w:pPr>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077AB61A" wp14:textId="7FAC8AE2">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0F623DE1" wp14:textId="0F7926ED">
      <w:pPr>
        <w:pStyle w:val="Normal"/>
        <w:spacing w:before="0" w:beforeAutospacing="off" w:after="0" w:afterAutospacing="off" w:line="480" w:lineRule="auto"/>
        <w:jc w:val="center"/>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xmlns:wp14="http://schemas.microsoft.com/office/word/2010/wordml" w:rsidP="0072C3AB" wp14:paraId="341569DD" wp14:textId="3F020449">
      <w:pPr>
        <w:spacing w:before="0" w:beforeAutospacing="off" w:after="0" w:afterAutospacing="off" w:line="480" w:lineRule="auto"/>
        <w:jc w:val="center"/>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NHIS 2021 Data Analysis Group Project</w:t>
      </w:r>
    </w:p>
    <w:p xmlns:wp14="http://schemas.microsoft.com/office/word/2010/wordml" w:rsidP="0072C3AB" wp14:paraId="22F0C992" wp14:textId="6A13CDC6">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Introduction</w:t>
      </w:r>
    </w:p>
    <w:p xmlns:wp14="http://schemas.microsoft.com/office/word/2010/wordml" w:rsidP="0072C3AB" wp14:paraId="5C2A2AC0" wp14:textId="299FCA24">
      <w:pPr>
        <w:spacing w:before="0" w:beforeAutospacing="off" w:after="0" w:afterAutospacing="off" w:line="480" w:lineRule="auto"/>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National Health Interview Survey (NHIS) is a major yearly survey that collects health and demographic information from adults in the United States. It provides national data that helps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identify</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health disparities and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guide</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public health decisions.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Important factors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such as education, general health, life satisfaction, age, sex, and ethnicity play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 big role</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understanding population health. Research shows that higher education and better self-rated health are linked to improved long-term health outcomes. This report analyzes 2021 NHIS data to explore how demographic and health factors relate to each other. The study aims to show how social and demographic differences affect the health and well-being of U.S. adults.</w:t>
      </w:r>
    </w:p>
    <w:p xmlns:wp14="http://schemas.microsoft.com/office/word/2010/wordml" w:rsidP="0072C3AB" wp14:paraId="73AE1605" wp14:textId="0D9231D3">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Methods</w:t>
      </w:r>
    </w:p>
    <w:p xmlns:wp14="http://schemas.microsoft.com/office/word/2010/wordml" w:rsidP="0072C3AB" wp14:paraId="01BD6369" wp14:textId="2374B9B5">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All data management, cleaning, and analyses were conducted in R. The dataset was restricted to eight variables relevant to the study aims: age, weight, height, sex, Hispanic ethnicity, education, general health status, and life satisfaction. All missing or non-response codes were re-coded to missing (NA). Listwise deletion was then applied to remove any observations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containing</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missing values across the selected variables. This approach ensures internal consistency across analyses, although it results in a reduced final sample size. The education variable (EDUCP_A) was recategorized into four ordered and interpretable levels that were stored as a factor with descriptive labels to support clearer interpretation in statistical outputs and visualizations. Univariate analyses were conducted to characterize the distribution of each variable. For the quantitative variables, summary statistics were calculated, and distributions were visualized using both base R and ggplot2 histograms and boxplots. For the qualitative variables, frequency tables were produced alongside base R and ggplot2 bar plots. Bivariate analyses were conducted to explore relationships between pairs of variables. Age differences across sex and educational categories were examined using side-by-side boxplots created in both base R and ggplot2. A clustered bar chart was used to assess the association between self-rated general health and life satisfaction. Finally, scatterplots were generated to evaluate the relationship between height and weight, and a Pearson correlation coefficient was calculated to quantify the strength and direction of this association.</w:t>
      </w:r>
    </w:p>
    <w:p xmlns:wp14="http://schemas.microsoft.com/office/word/2010/wordml" w:rsidP="0072C3AB" wp14:paraId="6F58933D" wp14:textId="2E6E85AB">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Results</w:t>
      </w:r>
    </w:p>
    <w:p xmlns:wp14="http://schemas.microsoft.com/office/word/2010/wordml" w:rsidP="0072C3AB" wp14:paraId="21465692" wp14:textId="43C0217F">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Summary statistics for quantitative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variables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age, height and weight were used for a univariate analysis.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data</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showed that participants ranged in age from 18 to 85 years old, with an average age of 53. Height and weight followed normal distributions with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mean</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weight of 177.6 pounds and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height</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66.7 inches. For qualitative variables, the sample consisted of more females, with most respondents identifying as non-</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hispanic</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white. Education levels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varied,</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however the largest group was those who have a bachelor’s degree or higher. Most participants reported their overall health as “good” and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high levels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life satisfaction. </w:t>
      </w:r>
    </w:p>
    <w:p xmlns:wp14="http://schemas.microsoft.com/office/word/2010/wordml" w:rsidP="0072C3AB" wp14:paraId="3D0BE483" wp14:textId="17B2D7F7">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Bivariate and multivariate comparisons were conducted to explore relationships between demographic characteristics in association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height and weight. Scatter plots and correlation analysis showed a positive correlation between height and weight,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indicating</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taller individuals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generally weigh</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more. When comparing sex and education, this was also true. However, upon comparing age with height and age with weight, there was no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significant relationship</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proving that age does not affect either weight or height. When comparing boxplots and grouped histograms, there was a relationship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indicating</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that males tend to be taller and weigh more than females across various education levels.</w:t>
      </w:r>
    </w:p>
    <w:p xmlns:wp14="http://schemas.microsoft.com/office/word/2010/wordml" w:rsidP="0072C3AB" wp14:paraId="251E8F89" wp14:textId="31AE1406">
      <w:pPr>
        <w:spacing w:line="480" w:lineRule="auto"/>
        <w:rPr>
          <w:rFonts w:ascii="Times New Roman" w:hAnsi="Times New Roman" w:eastAsia="Times New Roman" w:cs="Times New Roman"/>
        </w:rPr>
      </w:pPr>
    </w:p>
    <w:p xmlns:wp14="http://schemas.microsoft.com/office/word/2010/wordml" w:rsidP="0072C3AB" wp14:paraId="6F700537" wp14:textId="11598992">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Discussion</w:t>
      </w:r>
    </w:p>
    <w:p xmlns:wp14="http://schemas.microsoft.com/office/word/2010/wordml" w:rsidP="0072C3AB" wp14:paraId="6B8A689E" wp14:textId="5FE4920A">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Results from the data analyses may have various implications. In comparing scores of participants’ general health status and quality of life, those who reported greater satisfaction with their quality of life also reported a more positive health status, while several participants reported dissatisfaction with their life and a good to fair health status. Such results point to the possible connections between greater life satisfaction and more positive health outcomes.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indicated by comparisons between the height and weight of the sample, there is a positive correlation between weight and height.</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Such findings pose avenues for further analysis among American adults as to the possible relationship between height, weight, and sex. Comparisons between age, height, and weight among the sample drew prominent findings.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accordance with</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previous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analyses, height and weight displayed a significant, positive correlation. This positive correlation calls for greater research and analysis of the nature of the relationship between height and weight among American adults. </w:t>
      </w:r>
    </w:p>
    <w:p xmlns:wp14="http://schemas.microsoft.com/office/word/2010/wordml" w:rsidP="0072C3AB" wp14:paraId="420FEFA5" wp14:textId="5170FCAE">
      <w:pPr>
        <w:spacing w:before="0" w:beforeAutospacing="off" w:after="0" w:afterAutospacing="off" w:line="480" w:lineRule="auto"/>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Conclusion</w:t>
      </w:r>
    </w:p>
    <w:p xmlns:wp14="http://schemas.microsoft.com/office/word/2010/wordml" w:rsidP="0072C3AB" wp14:paraId="22566EAC" wp14:textId="04781127">
      <w:pPr>
        <w:spacing w:before="0" w:beforeAutospacing="off" w:after="0" w:afterAutospacing="off" w:line="480" w:lineRule="auto"/>
        <w:ind w:firstLine="7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National Health Interview Survey collects various demographic and health-related data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pertaining to</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American population. Following multiple data analyses, the 2021 NHIS data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indicate</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prominently positive correlation between height and weight among American adults. Additionally, the data conveys the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likely relationship</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between life satisfaction and health status, suggesting that an adequacy of certain resources to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maintain</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health can result in positive health outcomes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Such findings call for greater analysis of the relationship between height and weight, as well as the factors that may contribute to life satisfaction and health outcomes. While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numerous</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analyses did not garner greater statistical significance, the data provide a foundation for </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facilitating</w:t>
      </w:r>
      <w:r w:rsidRPr="0072C3AB" w:rsidR="5A70C12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greater research surrounding the health of Americans.</w:t>
      </w:r>
    </w:p>
    <w:p xmlns:wp14="http://schemas.microsoft.com/office/word/2010/wordml" w:rsidP="0072C3AB" wp14:paraId="1DB63C1F" wp14:textId="37621B5D">
      <w:pPr>
        <w:spacing w:line="480" w:lineRule="auto"/>
        <w:rPr>
          <w:rFonts w:ascii="Times New Roman" w:hAnsi="Times New Roman" w:eastAsia="Times New Roman" w:cs="Times New Roman"/>
        </w:rPr>
      </w:pPr>
    </w:p>
    <w:p xmlns:wp14="http://schemas.microsoft.com/office/word/2010/wordml" w:rsidP="0072C3AB" wp14:paraId="2C078E63" wp14:textId="3EBB82A7">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3067c050e3ff4988"/>
      <w:footerReference w:type="default" r:id="R562b1ba7d41f44c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072C3AB" w:rsidTr="0072C3AB" w14:paraId="1D398E61">
      <w:trPr>
        <w:trHeight w:val="300"/>
      </w:trPr>
      <w:tc>
        <w:tcPr>
          <w:tcW w:w="3120" w:type="dxa"/>
          <w:tcMar/>
        </w:tcPr>
        <w:p w:rsidR="0072C3AB" w:rsidP="0072C3AB" w:rsidRDefault="0072C3AB" w14:paraId="3FE886AF" w14:textId="024A9B42">
          <w:pPr>
            <w:pStyle w:val="Header"/>
            <w:bidi w:val="0"/>
            <w:ind w:left="-115"/>
            <w:jc w:val="left"/>
          </w:pPr>
        </w:p>
      </w:tc>
      <w:tc>
        <w:tcPr>
          <w:tcW w:w="3120" w:type="dxa"/>
          <w:tcMar/>
        </w:tcPr>
        <w:p w:rsidR="0072C3AB" w:rsidP="0072C3AB" w:rsidRDefault="0072C3AB" w14:paraId="08E420EE" w14:textId="783FF719">
          <w:pPr>
            <w:pStyle w:val="Header"/>
            <w:bidi w:val="0"/>
            <w:jc w:val="center"/>
          </w:pPr>
        </w:p>
      </w:tc>
      <w:tc>
        <w:tcPr>
          <w:tcW w:w="3120" w:type="dxa"/>
          <w:tcMar/>
        </w:tcPr>
        <w:p w:rsidR="0072C3AB" w:rsidP="0072C3AB" w:rsidRDefault="0072C3AB" w14:paraId="51697801" w14:textId="2797A0BE">
          <w:pPr>
            <w:pStyle w:val="Header"/>
            <w:bidi w:val="0"/>
            <w:ind w:right="-115"/>
            <w:jc w:val="right"/>
          </w:pPr>
        </w:p>
      </w:tc>
    </w:tr>
  </w:tbl>
  <w:p w:rsidR="0072C3AB" w:rsidP="0072C3AB" w:rsidRDefault="0072C3AB" w14:paraId="6F6A52C1" w14:textId="59135C3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072C3AB" w:rsidTr="0072C3AB" w14:paraId="3671411C">
      <w:trPr>
        <w:trHeight w:val="300"/>
      </w:trPr>
      <w:tc>
        <w:tcPr>
          <w:tcW w:w="3120" w:type="dxa"/>
          <w:tcMar/>
        </w:tcPr>
        <w:p w:rsidR="0072C3AB" w:rsidP="0072C3AB" w:rsidRDefault="0072C3AB" w14:paraId="09201DB4" w14:textId="26944E34">
          <w:pPr>
            <w:pStyle w:val="Header"/>
            <w:bidi w:val="0"/>
            <w:ind w:left="-115"/>
            <w:jc w:val="left"/>
          </w:pPr>
        </w:p>
      </w:tc>
      <w:tc>
        <w:tcPr>
          <w:tcW w:w="3120" w:type="dxa"/>
          <w:tcMar/>
        </w:tcPr>
        <w:p w:rsidR="0072C3AB" w:rsidP="0072C3AB" w:rsidRDefault="0072C3AB" w14:paraId="6B8D8D00" w14:textId="41B707CE">
          <w:pPr>
            <w:pStyle w:val="Header"/>
            <w:bidi w:val="0"/>
            <w:jc w:val="center"/>
          </w:pPr>
        </w:p>
      </w:tc>
      <w:tc>
        <w:tcPr>
          <w:tcW w:w="3120" w:type="dxa"/>
          <w:tcMar/>
        </w:tcPr>
        <w:p w:rsidR="0072C3AB" w:rsidP="0072C3AB" w:rsidRDefault="0072C3AB" w14:paraId="141A2B65" w14:textId="70AF0E88">
          <w:pPr>
            <w:pStyle w:val="Header"/>
            <w:bidi w:val="0"/>
            <w:ind w:right="-115"/>
            <w:jc w:val="right"/>
          </w:pPr>
          <w:r>
            <w:fldChar w:fldCharType="begin"/>
          </w:r>
          <w:r>
            <w:instrText xml:space="preserve">PAGE</w:instrText>
          </w:r>
          <w:r>
            <w:fldChar w:fldCharType="separate"/>
          </w:r>
          <w:r>
            <w:fldChar w:fldCharType="end"/>
          </w:r>
        </w:p>
      </w:tc>
    </w:tr>
  </w:tbl>
  <w:p w:rsidR="0072C3AB" w:rsidP="0072C3AB" w:rsidRDefault="0072C3AB" w14:paraId="39F7A966" w14:textId="58F5FC3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16ECB3"/>
    <w:rsid w:val="0072C3AB"/>
    <w:rsid w:val="2D344CA1"/>
    <w:rsid w:val="328B4613"/>
    <w:rsid w:val="5416ECB3"/>
    <w:rsid w:val="550D9133"/>
    <w:rsid w:val="5A5D47DB"/>
    <w:rsid w:val="5A70C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56A40"/>
  <w15:chartTrackingRefBased/>
  <w15:docId w15:val="{FFE6276C-F4A1-45E2-8D09-9AE3CFC0C3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072C3AB"/>
    <w:pPr>
      <w:tabs>
        <w:tab w:val="center" w:leader="none" w:pos="4680"/>
        <w:tab w:val="right" w:leader="none" w:pos="9360"/>
      </w:tabs>
      <w:spacing w:after="0" w:line="240" w:lineRule="auto"/>
    </w:pPr>
  </w:style>
  <w:style w:type="paragraph" w:styleId="Footer">
    <w:uiPriority w:val="99"/>
    <w:name w:val="footer"/>
    <w:basedOn w:val="Normal"/>
    <w:unhideWhenUsed/>
    <w:rsid w:val="0072C3A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067c050e3ff4988" /><Relationship Type="http://schemas.openxmlformats.org/officeDocument/2006/relationships/footer" Target="footer.xml" Id="R562b1ba7d41f44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2025-11-24T07:10:43.6342411Z</dcterms:created>
  <dcterms:modified xsi:type="dcterms:W3CDTF">2025-11-24T07:15:10.0700116Z</dcterms:modified>
  <dc:creator>Escala, Giselle</dc:creator>
  <lastModifiedBy>Escala, Giselle</lastModifiedBy>
</coreProperties>
</file>