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Compass Logistics Procurement - Synthetic Data and Source Specification</w:t>
      </w:r>
    </w:p>
    <w:p>
      <w:r>
        <w:t>Version 1.2 | 23 September 2026</w:t>
      </w:r>
    </w:p>
    <w:p>
      <w:pPr>
        <w:pStyle w:val="Heading1"/>
      </w:pPr>
      <w:r>
        <w:t>1. Purpose</w:t>
      </w:r>
    </w:p>
    <w:p>
      <w:r>
        <w:t>This specification defines the synthetic evidence package used to adapt the Future Energy procurement prototype for logistics services. It separates authoritative inputs from scenario evidence and Compass-generated outputs so the prototype can demonstrate that it reads source documents, extracts cited requirements and creates the RFP/ITT rather than displaying a document prepared in advance.</w:t>
      </w:r>
    </w:p>
    <w:p>
      <w:r>
        <w:t>The internal replay fixture exists only to load controlled evidence after prerequisite user actions. Its checkpoints, identifiers, release conditions and controls must never appear in the customer-facing interface.</w:t>
      </w:r>
    </w:p>
    <w:p>
      <w:pPr>
        <w:pStyle w:val="Heading1"/>
      </w:pPr>
      <w:r>
        <w:t>2. Dataset scope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8"/>
              </w:rPr>
              <w:t>Area</w:t>
            </w:r>
          </w:p>
        </w:tc>
        <w:tc>
          <w:tcPr>
            <w:tcW w:type="dxa" w:w="3312"/>
            <w:shd w:fill="1F4E79"/>
          </w:tcPr>
          <w:p>
            <w:r>
              <w:rPr>
                <w:b/>
                <w:color w:val="FFFFFF"/>
                <w:sz w:val="18"/>
              </w:rPr>
              <w:t>Volume</w:t>
            </w:r>
          </w:p>
        </w:tc>
        <w:tc>
          <w:tcPr>
            <w:tcW w:type="dxa" w:w="3312"/>
            <w:shd w:fill="1F4E79"/>
          </w:tcPr>
          <w:p>
            <w:r>
              <w:rPr>
                <w:b/>
                <w:color w:val="FFFFFF"/>
                <w:sz w:val="18"/>
              </w:rPr>
              <w:t>Purpose</w:t>
            </w:r>
          </w:p>
        </w:tc>
      </w:tr>
      <w:tr>
        <w:tc>
          <w:tcPr>
            <w:tcW w:type="dxa" w:w="3312"/>
            <w:vAlign w:val="center"/>
          </w:tcPr>
          <w:p>
            <w:r>
              <w:rPr>
                <w:sz w:val="17"/>
              </w:rPr>
              <w:t>Suppliers</w:t>
            </w:r>
          </w:p>
        </w:tc>
        <w:tc>
          <w:tcPr>
            <w:tcW w:type="dxa" w:w="3312"/>
            <w:vAlign w:val="center"/>
          </w:tcPr>
          <w:p>
            <w:r>
              <w:rPr>
                <w:sz w:val="17"/>
              </w:rPr>
              <w:t>5: 3 incumbents, 2 challengers</w:t>
            </w:r>
          </w:p>
        </w:tc>
        <w:tc>
          <w:tcPr>
            <w:tcW w:type="dxa" w:w="3312"/>
            <w:vAlign w:val="center"/>
          </w:tcPr>
          <w:p>
            <w:r>
              <w:rPr>
                <w:sz w:val="17"/>
              </w:rPr>
              <w:t>Vendor profiles, history and qualification</w:t>
            </w:r>
          </w:p>
        </w:tc>
      </w:tr>
      <w:tr>
        <w:tc>
          <w:tcPr>
            <w:tcW w:type="dxa" w:w="3312"/>
            <w:vAlign w:val="center"/>
          </w:tcPr>
          <w:p>
            <w:r>
              <w:rPr>
                <w:sz w:val="17"/>
              </w:rPr>
              <w:t>History</w:t>
            </w:r>
          </w:p>
        </w:tc>
        <w:tc>
          <w:tcPr>
            <w:tcW w:type="dxa" w:w="3312"/>
            <w:vAlign w:val="center"/>
          </w:tcPr>
          <w:p>
            <w:r>
              <w:rPr>
                <w:sz w:val="17"/>
              </w:rPr>
              <w:t>12 months</w:t>
            </w:r>
          </w:p>
        </w:tc>
        <w:tc>
          <w:tcPr>
            <w:tcW w:type="dxa" w:w="3312"/>
            <w:vAlign w:val="center"/>
          </w:tcPr>
          <w:p>
            <w:r>
              <w:rPr>
                <w:sz w:val="17"/>
              </w:rPr>
              <w:t>Trend and score calculation</w:t>
            </w:r>
          </w:p>
        </w:tc>
      </w:tr>
      <w:tr>
        <w:tc>
          <w:tcPr>
            <w:tcW w:type="dxa" w:w="3312"/>
            <w:vAlign w:val="center"/>
          </w:tcPr>
          <w:p>
            <w:r>
              <w:rPr>
                <w:sz w:val="17"/>
              </w:rPr>
              <w:t>Road-freight lanes</w:t>
            </w:r>
          </w:p>
        </w:tc>
        <w:tc>
          <w:tcPr>
            <w:tcW w:type="dxa" w:w="3312"/>
            <w:vAlign w:val="center"/>
          </w:tcPr>
          <w:p>
            <w:r>
              <w:rPr>
                <w:sz w:val="17"/>
              </w:rPr>
              <w:t>18 European lanes</w:t>
            </w:r>
          </w:p>
        </w:tc>
        <w:tc>
          <w:tcPr>
            <w:tcW w:type="dxa" w:w="3312"/>
            <w:vAlign w:val="center"/>
          </w:tcPr>
          <w:p>
            <w:r>
              <w:rPr>
                <w:sz w:val="17"/>
              </w:rPr>
              <w:t>Requirement, pricing and award analysis</w:t>
            </w:r>
          </w:p>
        </w:tc>
      </w:tr>
      <w:tr>
        <w:tc>
          <w:tcPr>
            <w:tcW w:type="dxa" w:w="3312"/>
            <w:vAlign w:val="center"/>
          </w:tcPr>
          <w:p>
            <w:r>
              <w:rPr>
                <w:sz w:val="17"/>
              </w:rPr>
              <w:t>Shipment records</w:t>
            </w:r>
          </w:p>
        </w:tc>
        <w:tc>
          <w:tcPr>
            <w:tcW w:type="dxa" w:w="3312"/>
            <w:vAlign w:val="center"/>
          </w:tcPr>
          <w:p>
            <w:r>
              <w:rPr>
                <w:sz w:val="17"/>
              </w:rPr>
              <w:t>2448</w:t>
            </w:r>
          </w:p>
        </w:tc>
        <w:tc>
          <w:tcPr>
            <w:tcW w:type="dxa" w:w="3312"/>
            <w:vAlign w:val="center"/>
          </w:tcPr>
          <w:p>
            <w:r>
              <w:rPr>
                <w:sz w:val="17"/>
              </w:rPr>
              <w:t>OTD, acceptance and claims evidence</w:t>
            </w:r>
          </w:p>
        </w:tc>
      </w:tr>
      <w:tr>
        <w:tc>
          <w:tcPr>
            <w:tcW w:type="dxa" w:w="3312"/>
            <w:vAlign w:val="center"/>
          </w:tcPr>
          <w:p>
            <w:r>
              <w:rPr>
                <w:sz w:val="17"/>
              </w:rPr>
              <w:t>Invoice records</w:t>
            </w:r>
          </w:p>
        </w:tc>
        <w:tc>
          <w:tcPr>
            <w:tcW w:type="dxa" w:w="3312"/>
            <w:vAlign w:val="center"/>
          </w:tcPr>
          <w:p>
            <w:r>
              <w:rPr>
                <w:sz w:val="17"/>
              </w:rPr>
              <w:t>216</w:t>
            </w:r>
          </w:p>
        </w:tc>
        <w:tc>
          <w:tcPr>
            <w:tcW w:type="dxa" w:w="3312"/>
            <w:vAlign w:val="center"/>
          </w:tcPr>
          <w:p>
            <w:r>
              <w:rPr>
                <w:sz w:val="17"/>
              </w:rPr>
              <w:t>Rate and invoice accuracy</w:t>
            </w:r>
          </w:p>
        </w:tc>
      </w:tr>
      <w:tr>
        <w:tc>
          <w:tcPr>
            <w:tcW w:type="dxa" w:w="3312"/>
            <w:vAlign w:val="center"/>
          </w:tcPr>
          <w:p>
            <w:r>
              <w:rPr>
                <w:sz w:val="17"/>
              </w:rPr>
              <w:t>Bids</w:t>
            </w:r>
          </w:p>
        </w:tc>
        <w:tc>
          <w:tcPr>
            <w:tcW w:type="dxa" w:w="3312"/>
            <w:vAlign w:val="center"/>
          </w:tcPr>
          <w:p>
            <w:r>
              <w:rPr>
                <w:sz w:val="17"/>
              </w:rPr>
              <w:t>4 complete response sets</w:t>
            </w:r>
          </w:p>
        </w:tc>
        <w:tc>
          <w:tcPr>
            <w:tcW w:type="dxa" w:w="3312"/>
            <w:vAlign w:val="center"/>
          </w:tcPr>
          <w:p>
            <w:r>
              <w:rPr>
                <w:sz w:val="17"/>
              </w:rPr>
              <w:t>Normalisation, gates and award scenarios</w:t>
            </w:r>
          </w:p>
        </w:tc>
      </w:tr>
      <w:tr>
        <w:tc>
          <w:tcPr>
            <w:tcW w:type="dxa" w:w="3312"/>
            <w:vAlign w:val="center"/>
          </w:tcPr>
          <w:p>
            <w:r>
              <w:rPr>
                <w:sz w:val="17"/>
              </w:rPr>
              <w:t>Emails</w:t>
            </w:r>
          </w:p>
        </w:tc>
        <w:tc>
          <w:tcPr>
            <w:tcW w:type="dxa" w:w="3312"/>
            <w:vAlign w:val="center"/>
          </w:tcPr>
          <w:p>
            <w:r>
              <w:rPr>
                <w:sz w:val="17"/>
              </w:rPr>
              <w:t>12 EN/DE messages</w:t>
            </w:r>
          </w:p>
        </w:tc>
        <w:tc>
          <w:tcPr>
            <w:tcW w:type="dxa" w:w="3312"/>
            <w:vAlign w:val="center"/>
          </w:tcPr>
          <w:p>
            <w:r>
              <w:rPr>
                <w:sz w:val="17"/>
              </w:rPr>
              <w:t>Relevance filtering, extraction and outbound workflow</w:t>
            </w:r>
          </w:p>
        </w:tc>
      </w:tr>
      <w:tr>
        <w:tc>
          <w:tcPr>
            <w:tcW w:type="dxa" w:w="3312"/>
            <w:vAlign w:val="center"/>
          </w:tcPr>
          <w:p>
            <w:r>
              <w:rPr>
                <w:sz w:val="17"/>
              </w:rPr>
              <w:t>Workflow stages</w:t>
            </w:r>
          </w:p>
        </w:tc>
        <w:tc>
          <w:tcPr>
            <w:tcW w:type="dxa" w:w="3312"/>
            <w:vAlign w:val="center"/>
          </w:tcPr>
          <w:p>
            <w:r>
              <w:rPr>
                <w:sz w:val="17"/>
              </w:rPr>
              <w:t>9</w:t>
            </w:r>
          </w:p>
        </w:tc>
        <w:tc>
          <w:tcPr>
            <w:tcW w:type="dxa" w:w="3312"/>
            <w:vAlign w:val="center"/>
          </w:tcPr>
          <w:p>
            <w:r>
              <w:rPr>
                <w:sz w:val="17"/>
              </w:rPr>
              <w:t>Progressive release following user actions</w:t>
            </w:r>
          </w:p>
        </w:tc>
      </w:tr>
    </w:tbl>
    <w:p>
      <w:pPr>
        <w:pStyle w:val="Heading1"/>
      </w:pPr>
      <w:r>
        <w:t>2.1 Package separation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8"/>
              </w:rPr>
              <w:t>Folder</w:t>
            </w:r>
          </w:p>
        </w:tc>
        <w:tc>
          <w:tcPr>
            <w:tcW w:type="dxa" w:w="3312"/>
            <w:shd w:fill="1F4E79"/>
          </w:tcPr>
          <w:p>
            <w:r>
              <w:rPr>
                <w:b/>
                <w:color w:val="FFFFFF"/>
                <w:sz w:val="18"/>
              </w:rPr>
              <w:t>Contents</w:t>
            </w:r>
          </w:p>
        </w:tc>
        <w:tc>
          <w:tcPr>
            <w:tcW w:type="dxa" w:w="3312"/>
            <w:shd w:fill="1F4E79"/>
          </w:tcPr>
          <w:p>
            <w:r>
              <w:rPr>
                <w:b/>
                <w:color w:val="FFFFFF"/>
                <w:sz w:val="18"/>
              </w:rPr>
              <w:t>Generation access</w:t>
            </w:r>
          </w:p>
        </w:tc>
      </w:tr>
      <w:tr>
        <w:tc>
          <w:tcPr>
            <w:tcW w:type="dxa" w:w="3312"/>
            <w:vAlign w:val="center"/>
          </w:tcPr>
          <w:p>
            <w:r>
              <w:rPr>
                <w:sz w:val="17"/>
              </w:rPr>
              <w:t>authoritative_source_documents</w:t>
            </w:r>
          </w:p>
        </w:tc>
        <w:tc>
          <w:tcPr>
            <w:tcW w:type="dxa" w:w="3312"/>
            <w:vAlign w:val="center"/>
          </w:tcPr>
          <w:p>
            <w:r>
              <w:rPr>
                <w:sz w:val="17"/>
              </w:rPr>
              <w:t>Logistics, SLA, policy, legal, pricing, technology, sustainability, qualification, contract and historical-review documents</w:t>
            </w:r>
          </w:p>
        </w:tc>
        <w:tc>
          <w:tcPr>
            <w:tcW w:type="dxa" w:w="3312"/>
            <w:vAlign w:val="center"/>
          </w:tcPr>
          <w:p>
            <w:r>
              <w:rPr>
                <w:sz w:val="17"/>
              </w:rPr>
              <w:t>Available to Compass as input</w:t>
            </w:r>
          </w:p>
        </w:tc>
      </w:tr>
      <w:tr>
        <w:tc>
          <w:tcPr>
            <w:tcW w:type="dxa" w:w="3312"/>
            <w:vAlign w:val="center"/>
          </w:tcPr>
          <w:p>
            <w:r>
              <w:rPr>
                <w:sz w:val="17"/>
              </w:rPr>
              <w:t>structured_source_data</w:t>
            </w:r>
          </w:p>
        </w:tc>
        <w:tc>
          <w:tcPr>
            <w:tcW w:type="dxa" w:w="3312"/>
            <w:vAlign w:val="center"/>
          </w:tcPr>
          <w:p>
            <w:r>
              <w:rPr>
                <w:sz w:val="17"/>
              </w:rPr>
              <w:t>Lanes, volumes, suppliers, contracts, shipments, invoices, incidents and source-document index</w:t>
            </w:r>
          </w:p>
        </w:tc>
        <w:tc>
          <w:tcPr>
            <w:tcW w:type="dxa" w:w="3312"/>
            <w:vAlign w:val="center"/>
          </w:tcPr>
          <w:p>
            <w:r>
              <w:rPr>
                <w:sz w:val="17"/>
              </w:rPr>
              <w:t>Available to Compass as input</w:t>
            </w:r>
          </w:p>
        </w:tc>
      </w:tr>
      <w:tr>
        <w:tc>
          <w:tcPr>
            <w:tcW w:type="dxa" w:w="3312"/>
            <w:vAlign w:val="center"/>
          </w:tcPr>
          <w:p>
            <w:r>
              <w:rPr>
                <w:sz w:val="17"/>
              </w:rPr>
              <w:t>scenario_inputs</w:t>
            </w:r>
          </w:p>
        </w:tc>
        <w:tc>
          <w:tcPr>
            <w:tcW w:type="dxa" w:w="3312"/>
            <w:vAlign w:val="center"/>
          </w:tcPr>
          <w:p>
            <w:r>
              <w:rPr>
                <w:sz w:val="17"/>
              </w:rPr>
              <w:t>Supplier emails, bids, revised rate cards and submission evidence</w:t>
            </w:r>
          </w:p>
        </w:tc>
        <w:tc>
          <w:tcPr>
            <w:tcW w:type="dxa" w:w="3312"/>
            <w:vAlign w:val="center"/>
          </w:tcPr>
          <w:p>
            <w:r>
              <w:rPr>
                <w:sz w:val="17"/>
              </w:rPr>
              <w:t>Available only when released by the internal replay fixture</w:t>
            </w:r>
          </w:p>
        </w:tc>
      </w:tr>
      <w:tr>
        <w:tc>
          <w:tcPr>
            <w:tcW w:type="dxa" w:w="3312"/>
            <w:vAlign w:val="center"/>
          </w:tcPr>
          <w:p>
            <w:r>
              <w:rPr>
                <w:sz w:val="17"/>
              </w:rPr>
              <w:t>expected_generated_outputs</w:t>
            </w:r>
          </w:p>
        </w:tc>
        <w:tc>
          <w:tcPr>
            <w:tcW w:type="dxa" w:w="3312"/>
            <w:vAlign w:val="center"/>
          </w:tcPr>
          <w:p>
            <w:r>
              <w:rPr>
                <w:sz w:val="17"/>
              </w:rPr>
              <w:t>Expected requirement register, RFP/ITT, evaluations, award, actions and corrective-action examples</w:t>
            </w:r>
          </w:p>
        </w:tc>
        <w:tc>
          <w:tcPr>
            <w:tcW w:type="dxa" w:w="3312"/>
            <w:vAlign w:val="center"/>
          </w:tcPr>
          <w:p>
            <w:r>
              <w:rPr>
                <w:sz w:val="17"/>
              </w:rPr>
              <w:t>Blocked from the generation process; test comparison only</w:t>
            </w:r>
          </w:p>
        </w:tc>
      </w:tr>
      <w:tr>
        <w:tc>
          <w:tcPr>
            <w:tcW w:type="dxa" w:w="3312"/>
            <w:vAlign w:val="center"/>
          </w:tcPr>
          <w:p>
            <w:r>
              <w:rPr>
                <w:sz w:val="17"/>
              </w:rPr>
              <w:t>internal_test_controls</w:t>
            </w:r>
          </w:p>
        </w:tc>
        <w:tc>
          <w:tcPr>
            <w:tcW w:type="dxa" w:w="3312"/>
            <w:vAlign w:val="center"/>
          </w:tcPr>
          <w:p>
            <w:r>
              <w:rPr>
                <w:sz w:val="17"/>
              </w:rPr>
              <w:t>Replay checkpoints and fixture-loading rules</w:t>
            </w:r>
          </w:p>
        </w:tc>
        <w:tc>
          <w:tcPr>
            <w:tcW w:type="dxa" w:w="3312"/>
            <w:vAlign w:val="center"/>
          </w:tcPr>
          <w:p>
            <w:r>
              <w:rPr>
                <w:sz w:val="17"/>
              </w:rPr>
              <w:t>Test harness only; never customer-visible</w:t>
            </w:r>
          </w:p>
        </w:tc>
      </w:tr>
    </w:tbl>
    <w:p>
      <w:pPr>
        <w:pStyle w:val="Heading1"/>
      </w:pPr>
      <w:r>
        <w:t>3. Source hierarchy and lineage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8"/>
              </w:rPr>
              <w:t>Source</w:t>
            </w:r>
          </w:p>
        </w:tc>
        <w:tc>
          <w:tcPr>
            <w:tcW w:type="dxa" w:w="3312"/>
            <w:shd w:fill="1F4E79"/>
          </w:tcPr>
          <w:p>
            <w:r>
              <w:rPr>
                <w:b/>
                <w:color w:val="FFFFFF"/>
                <w:sz w:val="18"/>
              </w:rPr>
              <w:t>Authoritative for</w:t>
            </w:r>
          </w:p>
        </w:tc>
        <w:tc>
          <w:tcPr>
            <w:tcW w:type="dxa" w:w="3312"/>
            <w:shd w:fill="1F4E79"/>
          </w:tcPr>
          <w:p>
            <w:r>
              <w:rPr>
                <w:b/>
                <w:color w:val="FFFFFF"/>
                <w:sz w:val="18"/>
              </w:rPr>
              <w:t>Key identifiers</w:t>
            </w:r>
          </w:p>
        </w:tc>
      </w:tr>
      <w:tr>
        <w:tc>
          <w:tcPr>
            <w:tcW w:type="dxa" w:w="3312"/>
            <w:vAlign w:val="center"/>
          </w:tcPr>
          <w:p>
            <w:r>
              <w:rPr>
                <w:sz w:val="17"/>
              </w:rPr>
              <w:t>Supplier master</w:t>
            </w:r>
          </w:p>
        </w:tc>
        <w:tc>
          <w:tcPr>
            <w:tcW w:type="dxa" w:w="3312"/>
            <w:vAlign w:val="center"/>
          </w:tcPr>
          <w:p>
            <w:r>
              <w:rPr>
                <w:sz w:val="17"/>
              </w:rPr>
              <w:t>Identity, status and contact</w:t>
            </w:r>
          </w:p>
        </w:tc>
        <w:tc>
          <w:tcPr>
            <w:tcW w:type="dxa" w:w="3312"/>
            <w:vAlign w:val="center"/>
          </w:tcPr>
          <w:p>
            <w:r>
              <w:rPr>
                <w:sz w:val="17"/>
              </w:rPr>
              <w:t>supplier_id</w:t>
            </w:r>
          </w:p>
        </w:tc>
      </w:tr>
      <w:tr>
        <w:tc>
          <w:tcPr>
            <w:tcW w:type="dxa" w:w="3312"/>
            <w:vAlign w:val="center"/>
          </w:tcPr>
          <w:p>
            <w:r>
              <w:rPr>
                <w:sz w:val="17"/>
              </w:rPr>
              <w:t>Contract extract</w:t>
            </w:r>
          </w:p>
        </w:tc>
        <w:tc>
          <w:tcPr>
            <w:tcW w:type="dxa" w:w="3312"/>
            <w:vAlign w:val="center"/>
          </w:tcPr>
          <w:p>
            <w:r>
              <w:rPr>
                <w:sz w:val="17"/>
              </w:rPr>
              <w:t>Targets, obligations and dates</w:t>
            </w:r>
          </w:p>
        </w:tc>
        <w:tc>
          <w:tcPr>
            <w:tcW w:type="dxa" w:w="3312"/>
            <w:vAlign w:val="center"/>
          </w:tcPr>
          <w:p>
            <w:r>
              <w:rPr>
                <w:sz w:val="17"/>
              </w:rPr>
              <w:t>contract_id, supplier_id</w:t>
            </w:r>
          </w:p>
        </w:tc>
      </w:tr>
      <w:tr>
        <w:tc>
          <w:tcPr>
            <w:tcW w:type="dxa" w:w="3312"/>
            <w:vAlign w:val="center"/>
          </w:tcPr>
          <w:p>
            <w:r>
              <w:rPr>
                <w:sz w:val="17"/>
              </w:rPr>
              <w:t>Transport execution</w:t>
            </w:r>
          </w:p>
        </w:tc>
        <w:tc>
          <w:tcPr>
            <w:tcW w:type="dxa" w:w="3312"/>
            <w:vAlign w:val="center"/>
          </w:tcPr>
          <w:p>
            <w:r>
              <w:rPr>
                <w:sz w:val="17"/>
              </w:rPr>
              <w:t>Shipment milestones and actual cost</w:t>
            </w:r>
          </w:p>
        </w:tc>
        <w:tc>
          <w:tcPr>
            <w:tcW w:type="dxa" w:w="3312"/>
            <w:vAlign w:val="center"/>
          </w:tcPr>
          <w:p>
            <w:r>
              <w:rPr>
                <w:sz w:val="17"/>
              </w:rPr>
              <w:t>shipment_id, lane_id, supplier_id</w:t>
            </w:r>
          </w:p>
        </w:tc>
      </w:tr>
      <w:tr>
        <w:tc>
          <w:tcPr>
            <w:tcW w:type="dxa" w:w="3312"/>
            <w:vAlign w:val="center"/>
          </w:tcPr>
          <w:p>
            <w:r>
              <w:rPr>
                <w:sz w:val="17"/>
              </w:rPr>
              <w:t>Invoice history</w:t>
            </w:r>
          </w:p>
        </w:tc>
        <w:tc>
          <w:tcPr>
            <w:tcW w:type="dxa" w:w="3312"/>
            <w:vAlign w:val="center"/>
          </w:tcPr>
          <w:p>
            <w:r>
              <w:rPr>
                <w:sz w:val="17"/>
              </w:rPr>
              <w:t>Billed value and exceptions</w:t>
            </w:r>
          </w:p>
        </w:tc>
        <w:tc>
          <w:tcPr>
            <w:tcW w:type="dxa" w:w="3312"/>
            <w:vAlign w:val="center"/>
          </w:tcPr>
          <w:p>
            <w:r>
              <w:rPr>
                <w:sz w:val="17"/>
              </w:rPr>
              <w:t>invoice_id, lane_id, supplier_id</w:t>
            </w:r>
          </w:p>
        </w:tc>
      </w:tr>
      <w:tr>
        <w:tc>
          <w:tcPr>
            <w:tcW w:type="dxa" w:w="3312"/>
            <w:vAlign w:val="center"/>
          </w:tcPr>
          <w:p>
            <w:r>
              <w:rPr>
                <w:sz w:val="17"/>
              </w:rPr>
              <w:t>Email evidence</w:t>
            </w:r>
          </w:p>
        </w:tc>
        <w:tc>
          <w:tcPr>
            <w:tcW w:type="dxa" w:w="3312"/>
            <w:vAlign w:val="center"/>
          </w:tcPr>
          <w:p>
            <w:r>
              <w:rPr>
                <w:sz w:val="17"/>
              </w:rPr>
              <w:t>Clarifications, bids and actions</w:t>
            </w:r>
          </w:p>
        </w:tc>
        <w:tc>
          <w:tcPr>
            <w:tcW w:type="dxa" w:w="3312"/>
            <w:vAlign w:val="center"/>
          </w:tcPr>
          <w:p>
            <w:r>
              <w:rPr>
                <w:sz w:val="17"/>
              </w:rPr>
              <w:t>email_id, event_id</w:t>
            </w:r>
          </w:p>
        </w:tc>
      </w:tr>
      <w:tr>
        <w:tc>
          <w:tcPr>
            <w:tcW w:type="dxa" w:w="3312"/>
            <w:vAlign w:val="center"/>
          </w:tcPr>
          <w:p>
            <w:r>
              <w:rPr>
                <w:sz w:val="17"/>
              </w:rPr>
              <w:t>Bid responses</w:t>
            </w:r>
          </w:p>
        </w:tc>
        <w:tc>
          <w:tcPr>
            <w:tcW w:type="dxa" w:w="3312"/>
            <w:vAlign w:val="center"/>
          </w:tcPr>
          <w:p>
            <w:r>
              <w:rPr>
                <w:sz w:val="17"/>
              </w:rPr>
              <w:t>Commitments and prices</w:t>
            </w:r>
          </w:p>
        </w:tc>
        <w:tc>
          <w:tcPr>
            <w:tcW w:type="dxa" w:w="3312"/>
            <w:vAlign w:val="center"/>
          </w:tcPr>
          <w:p>
            <w:r>
              <w:rPr>
                <w:sz w:val="17"/>
              </w:rPr>
              <w:t>event_id, supplier_id, lane_id</w:t>
            </w:r>
          </w:p>
        </w:tc>
      </w:tr>
      <w:tr>
        <w:tc>
          <w:tcPr>
            <w:tcW w:type="dxa" w:w="3312"/>
            <w:vAlign w:val="center"/>
          </w:tcPr>
          <w:p>
            <w:r>
              <w:rPr>
                <w:sz w:val="17"/>
              </w:rPr>
              <w:t>Performance calculation</w:t>
            </w:r>
          </w:p>
        </w:tc>
        <w:tc>
          <w:tcPr>
            <w:tcW w:type="dxa" w:w="3312"/>
            <w:vAlign w:val="center"/>
          </w:tcPr>
          <w:p>
            <w:r>
              <w:rPr>
                <w:sz w:val="17"/>
              </w:rPr>
              <w:t>Monthly metrics and score components</w:t>
            </w:r>
          </w:p>
        </w:tc>
        <w:tc>
          <w:tcPr>
            <w:tcW w:type="dxa" w:w="3312"/>
            <w:vAlign w:val="center"/>
          </w:tcPr>
          <w:p>
            <w:r>
              <w:rPr>
                <w:sz w:val="17"/>
              </w:rPr>
              <w:t>month, supplier_id</w:t>
            </w:r>
          </w:p>
        </w:tc>
      </w:tr>
    </w:tbl>
    <w:p>
      <w:pPr>
        <w:pStyle w:val="Heading1"/>
      </w:pPr>
      <w:r>
        <w:t>4. Scoring method</w:t>
      </w:r>
    </w:p>
    <w:p>
      <w:r>
        <w:t>The overall vendor performance score uses transparent components: Operational 40%, Commercial 25%, Contract/SLA 20% and Relationship 15%. Operational measures include OTD, tender acceptance and claims. New suppliers remain No History and are not assigned an invented score. During bid evaluation, weights are normalised across available criteria.</w:t>
      </w:r>
    </w:p>
    <w:p>
      <w:pPr>
        <w:pStyle w:val="Heading1"/>
      </w:pPr>
      <w:r>
        <w:t>5. Email filtering rules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8"/>
              </w:rPr>
              <w:t>Rule</w:t>
            </w:r>
          </w:p>
        </w:tc>
        <w:tc>
          <w:tcPr>
            <w:tcW w:type="dxa" w:w="4968"/>
            <w:shd w:fill="1F4E79"/>
          </w:tcPr>
          <w:p>
            <w:r>
              <w:rPr>
                <w:b/>
                <w:color w:val="FFFFFF"/>
                <w:sz w:val="18"/>
              </w:rPr>
              <w:t>Treatment</w:t>
            </w:r>
          </w:p>
        </w:tc>
      </w:tr>
      <w:tr>
        <w:tc>
          <w:tcPr>
            <w:tcW w:type="dxa" w:w="4968"/>
            <w:vAlign w:val="center"/>
          </w:tcPr>
          <w:p>
            <w:r>
              <w:rPr>
                <w:sz w:val="17"/>
              </w:rPr>
              <w:t>Positive anchors</w:t>
            </w:r>
          </w:p>
        </w:tc>
        <w:tc>
          <w:tcPr>
            <w:tcW w:type="dxa" w:w="4968"/>
            <w:vAlign w:val="center"/>
          </w:tcPr>
          <w:p>
            <w:r>
              <w:rPr>
                <w:sz w:val="17"/>
              </w:rPr>
              <w:t>Recognised event ID, invited supplier, known sender, deadline, lane, rate card, bid or performance topic</w:t>
            </w:r>
          </w:p>
        </w:tc>
      </w:tr>
      <w:tr>
        <w:tc>
          <w:tcPr>
            <w:tcW w:type="dxa" w:w="4968"/>
            <w:vAlign w:val="center"/>
          </w:tcPr>
          <w:p>
            <w:r>
              <w:rPr>
                <w:sz w:val="17"/>
              </w:rPr>
              <w:t>Negative anchors</w:t>
            </w:r>
          </w:p>
        </w:tc>
        <w:tc>
          <w:tcPr>
            <w:tcW w:type="dxa" w:w="4968"/>
            <w:vAlign w:val="center"/>
          </w:tcPr>
          <w:p>
            <w:r>
              <w:rPr>
                <w:sz w:val="17"/>
              </w:rPr>
              <w:t>Newsletter, marketing, automated reply, unrelated subject and no recognised entity</w:t>
            </w:r>
          </w:p>
        </w:tc>
      </w:tr>
      <w:tr>
        <w:tc>
          <w:tcPr>
            <w:tcW w:type="dxa" w:w="4968"/>
            <w:vAlign w:val="center"/>
          </w:tcPr>
          <w:p>
            <w:r>
              <w:rPr>
                <w:sz w:val="17"/>
              </w:rPr>
              <w:t>Ambiguous cases</w:t>
            </w:r>
          </w:p>
        </w:tc>
        <w:tc>
          <w:tcPr>
            <w:tcW w:type="dxa" w:w="4968"/>
            <w:vAlign w:val="center"/>
          </w:tcPr>
          <w:p>
            <w:r>
              <w:rPr>
                <w:sz w:val="17"/>
              </w:rPr>
              <w:t>Quarantine for human review; do not extract facts into governed records</w:t>
            </w:r>
          </w:p>
        </w:tc>
      </w:tr>
      <w:tr>
        <w:tc>
          <w:tcPr>
            <w:tcW w:type="dxa" w:w="4968"/>
            <w:vAlign w:val="center"/>
          </w:tcPr>
          <w:p>
            <w:r>
              <w:rPr>
                <w:sz w:val="17"/>
              </w:rPr>
              <w:t>Attachments</w:t>
            </w:r>
          </w:p>
        </w:tc>
        <w:tc>
          <w:tcPr>
            <w:tcW w:type="dxa" w:w="4968"/>
            <w:vAlign w:val="center"/>
          </w:tcPr>
          <w:p>
            <w:r>
              <w:rPr>
                <w:sz w:val="17"/>
              </w:rPr>
              <w:t>Hash/version retained; revised documents supersede but do not erase earlier versions</w:t>
            </w:r>
          </w:p>
        </w:tc>
      </w:tr>
      <w:tr>
        <w:tc>
          <w:tcPr>
            <w:tcW w:type="dxa" w:w="4968"/>
            <w:vAlign w:val="center"/>
          </w:tcPr>
          <w:p>
            <w:r>
              <w:rPr>
                <w:sz w:val="17"/>
              </w:rPr>
              <w:t>Outgoing email</w:t>
            </w:r>
          </w:p>
        </w:tc>
        <w:tc>
          <w:tcPr>
            <w:tcW w:type="dxa" w:w="4968"/>
            <w:vAlign w:val="center"/>
          </w:tcPr>
          <w:p>
            <w:r>
              <w:rPr>
                <w:sz w:val="17"/>
              </w:rPr>
              <w:t>Always requires user review and approval before send in the prototype</w:t>
            </w:r>
          </w:p>
        </w:tc>
      </w:tr>
    </w:tbl>
    <w:p>
      <w:pPr>
        <w:pStyle w:val="Heading1"/>
      </w:pPr>
      <w:r>
        <w:t>6. Future Energy UI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8"/>
              </w:rPr>
              <w:t>Future Energy area</w:t>
            </w:r>
          </w:p>
        </w:tc>
        <w:tc>
          <w:tcPr>
            <w:tcW w:type="dxa" w:w="3312"/>
            <w:shd w:fill="1F4E79"/>
          </w:tcPr>
          <w:p>
            <w:r>
              <w:rPr>
                <w:b/>
                <w:color w:val="FFFFFF"/>
                <w:sz w:val="18"/>
              </w:rPr>
              <w:t>Treatment</w:t>
            </w:r>
          </w:p>
        </w:tc>
        <w:tc>
          <w:tcPr>
            <w:tcW w:type="dxa" w:w="3312"/>
            <w:shd w:fill="1F4E79"/>
          </w:tcPr>
          <w:p>
            <w:r>
              <w:rPr>
                <w:b/>
                <w:color w:val="FFFFFF"/>
                <w:sz w:val="18"/>
              </w:rPr>
              <w:t>Synthetic evidence</w:t>
            </w:r>
          </w:p>
        </w:tc>
      </w:tr>
      <w:tr>
        <w:tc>
          <w:tcPr>
            <w:tcW w:type="dxa" w:w="3312"/>
            <w:vAlign w:val="center"/>
          </w:tcPr>
          <w:p>
            <w:r>
              <w:rPr>
                <w:sz w:val="17"/>
              </w:rPr>
              <w:t>Action Centre</w:t>
            </w:r>
          </w:p>
        </w:tc>
        <w:tc>
          <w:tcPr>
            <w:tcW w:type="dxa" w:w="3312"/>
            <w:vAlign w:val="center"/>
          </w:tcPr>
          <w:p>
            <w:r>
              <w:rPr>
                <w:sz w:val="17"/>
              </w:rPr>
              <w:t>Retain and adapt</w:t>
            </w:r>
          </w:p>
        </w:tc>
        <w:tc>
          <w:tcPr>
            <w:tcW w:type="dxa" w:w="3312"/>
            <w:vAlign w:val="center"/>
          </w:tcPr>
          <w:p>
            <w:r>
              <w:rPr>
                <w:sz w:val="17"/>
              </w:rPr>
              <w:t>structured_source_data/contracts.csv; suppliers.csv; expected_generated_outputs/actions.csv</w:t>
            </w:r>
          </w:p>
        </w:tc>
      </w:tr>
      <w:tr>
        <w:tc>
          <w:tcPr>
            <w:tcW w:type="dxa" w:w="3312"/>
            <w:vAlign w:val="center"/>
          </w:tcPr>
          <w:p>
            <w:r>
              <w:rPr>
                <w:sz w:val="17"/>
              </w:rPr>
              <w:t>Sourcing workspace</w:t>
            </w:r>
          </w:p>
        </w:tc>
        <w:tc>
          <w:tcPr>
            <w:tcW w:type="dxa" w:w="3312"/>
            <w:vAlign w:val="center"/>
          </w:tcPr>
          <w:p>
            <w:r>
              <w:rPr>
                <w:sz w:val="17"/>
              </w:rPr>
              <w:t>Retain and adapt</w:t>
            </w:r>
          </w:p>
        </w:tc>
        <w:tc>
          <w:tcPr>
            <w:tcW w:type="dxa" w:w="3312"/>
            <w:vAlign w:val="center"/>
          </w:tcPr>
          <w:p>
            <w:r>
              <w:rPr>
                <w:sz w:val="17"/>
              </w:rPr>
              <w:t>authoritative_source_documents/*; structured_source_data/sourcing_event.csv; lanes.csv; contracts.csv</w:t>
            </w:r>
          </w:p>
        </w:tc>
      </w:tr>
      <w:tr>
        <w:tc>
          <w:tcPr>
            <w:tcW w:type="dxa" w:w="3312"/>
            <w:vAlign w:val="center"/>
          </w:tcPr>
          <w:p>
            <w:r>
              <w:rPr>
                <w:sz w:val="17"/>
              </w:rPr>
              <w:t>RFP/ITT authoring</w:t>
            </w:r>
          </w:p>
        </w:tc>
        <w:tc>
          <w:tcPr>
            <w:tcW w:type="dxa" w:w="3312"/>
            <w:vAlign w:val="center"/>
          </w:tcPr>
          <w:p>
            <w:r>
              <w:rPr>
                <w:sz w:val="17"/>
              </w:rPr>
              <w:t>Retain and adapt</w:t>
            </w:r>
          </w:p>
        </w:tc>
        <w:tc>
          <w:tcPr>
            <w:tcW w:type="dxa" w:w="3312"/>
            <w:vAlign w:val="center"/>
          </w:tcPr>
          <w:p>
            <w:r>
              <w:rPr>
                <w:sz w:val="17"/>
              </w:rPr>
              <w:t>authoritative_source_documents/*; structured_source_data/*; expected_generated_outputs/requirement_register.csv</w:t>
            </w:r>
          </w:p>
        </w:tc>
      </w:tr>
      <w:tr>
        <w:tc>
          <w:tcPr>
            <w:tcW w:type="dxa" w:w="3312"/>
            <w:vAlign w:val="center"/>
          </w:tcPr>
          <w:p>
            <w:r>
              <w:rPr>
                <w:sz w:val="17"/>
              </w:rPr>
              <w:t>Supplier communications</w:t>
            </w:r>
          </w:p>
        </w:tc>
        <w:tc>
          <w:tcPr>
            <w:tcW w:type="dxa" w:w="3312"/>
            <w:vAlign w:val="center"/>
          </w:tcPr>
          <w:p>
            <w:r>
              <w:rPr>
                <w:sz w:val="17"/>
              </w:rPr>
              <w:t>Retain and extend</w:t>
            </w:r>
          </w:p>
        </w:tc>
        <w:tc>
          <w:tcPr>
            <w:tcW w:type="dxa" w:w="3312"/>
            <w:vAlign w:val="center"/>
          </w:tcPr>
          <w:p>
            <w:r>
              <w:rPr>
                <w:sz w:val="17"/>
              </w:rPr>
              <w:t>scenario_inputs/email_index.csv; scenario_inputs/emails/*.eml; supplier_submissions/*</w:t>
            </w:r>
          </w:p>
        </w:tc>
      </w:tr>
      <w:tr>
        <w:tc>
          <w:tcPr>
            <w:tcW w:type="dxa" w:w="3312"/>
            <w:vAlign w:val="center"/>
          </w:tcPr>
          <w:p>
            <w:r>
              <w:rPr>
                <w:sz w:val="17"/>
              </w:rPr>
              <w:t>Bid evaluation</w:t>
            </w:r>
          </w:p>
        </w:tc>
        <w:tc>
          <w:tcPr>
            <w:tcW w:type="dxa" w:w="3312"/>
            <w:vAlign w:val="center"/>
          </w:tcPr>
          <w:p>
            <w:r>
              <w:rPr>
                <w:sz w:val="17"/>
              </w:rPr>
              <w:t>Retain and adapt</w:t>
            </w:r>
          </w:p>
        </w:tc>
        <w:tc>
          <w:tcPr>
            <w:tcW w:type="dxa" w:w="3312"/>
            <w:vAlign w:val="center"/>
          </w:tcPr>
          <w:p>
            <w:r>
              <w:rPr>
                <w:sz w:val="17"/>
              </w:rPr>
              <w:t>scenario_inputs/bids.csv; bid_lane_rates.csv; expected_generated_outputs/qualification_gates.csv; evaluation_scores.csv</w:t>
            </w:r>
          </w:p>
        </w:tc>
      </w:tr>
      <w:tr>
        <w:tc>
          <w:tcPr>
            <w:tcW w:type="dxa" w:w="3312"/>
            <w:vAlign w:val="center"/>
          </w:tcPr>
          <w:p>
            <w:r>
              <w:rPr>
                <w:sz w:val="17"/>
              </w:rPr>
              <w:t>Approval and award</w:t>
            </w:r>
          </w:p>
        </w:tc>
        <w:tc>
          <w:tcPr>
            <w:tcW w:type="dxa" w:w="3312"/>
            <w:vAlign w:val="center"/>
          </w:tcPr>
          <w:p>
            <w:r>
              <w:rPr>
                <w:sz w:val="17"/>
              </w:rPr>
              <w:t>Retain</w:t>
            </w:r>
          </w:p>
        </w:tc>
        <w:tc>
          <w:tcPr>
            <w:tcW w:type="dxa" w:w="3312"/>
            <w:vAlign w:val="center"/>
          </w:tcPr>
          <w:p>
            <w:r>
              <w:rPr>
                <w:sz w:val="17"/>
              </w:rPr>
              <w:t>expected_generated_outputs/award_scenarios.csv; actions.csv</w:t>
            </w:r>
          </w:p>
        </w:tc>
      </w:tr>
      <w:tr>
        <w:tc>
          <w:tcPr>
            <w:tcW w:type="dxa" w:w="3312"/>
            <w:vAlign w:val="center"/>
          </w:tcPr>
          <w:p>
            <w:r>
              <w:rPr>
                <w:sz w:val="17"/>
              </w:rPr>
              <w:t>Vendor 360</w:t>
            </w:r>
          </w:p>
        </w:tc>
        <w:tc>
          <w:tcPr>
            <w:tcW w:type="dxa" w:w="3312"/>
            <w:vAlign w:val="center"/>
          </w:tcPr>
          <w:p>
            <w:r>
              <w:rPr>
                <w:sz w:val="17"/>
              </w:rPr>
              <w:t>Add</w:t>
            </w:r>
          </w:p>
        </w:tc>
        <w:tc>
          <w:tcPr>
            <w:tcW w:type="dxa" w:w="3312"/>
            <w:vAlign w:val="center"/>
          </w:tcPr>
          <w:p>
            <w:r>
              <w:rPr>
                <w:sz w:val="17"/>
              </w:rPr>
              <w:t>structured_source_data/suppliers.csv; contracts.csv; performance_monthly.csv; incidents.csv</w:t>
            </w:r>
          </w:p>
        </w:tc>
      </w:tr>
      <w:tr>
        <w:tc>
          <w:tcPr>
            <w:tcW w:type="dxa" w:w="3312"/>
            <w:vAlign w:val="center"/>
          </w:tcPr>
          <w:p>
            <w:r>
              <w:rPr>
                <w:sz w:val="17"/>
              </w:rPr>
              <w:t>Performance management</w:t>
            </w:r>
          </w:p>
        </w:tc>
        <w:tc>
          <w:tcPr>
            <w:tcW w:type="dxa" w:w="3312"/>
            <w:vAlign w:val="center"/>
          </w:tcPr>
          <w:p>
            <w:r>
              <w:rPr>
                <w:sz w:val="17"/>
              </w:rPr>
              <w:t>Add</w:t>
            </w:r>
          </w:p>
        </w:tc>
        <w:tc>
          <w:tcPr>
            <w:tcW w:type="dxa" w:w="3312"/>
            <w:vAlign w:val="center"/>
          </w:tcPr>
          <w:p>
            <w:r>
              <w:rPr>
                <w:sz w:val="17"/>
              </w:rPr>
              <w:t>structured_source_data/shipments.csv; invoices.csv; incidents.csv; performance_monthly.csv</w:t>
            </w:r>
          </w:p>
        </w:tc>
      </w:tr>
      <w:tr>
        <w:tc>
          <w:tcPr>
            <w:tcW w:type="dxa" w:w="3312"/>
            <w:vAlign w:val="center"/>
          </w:tcPr>
          <w:p>
            <w:r>
              <w:rPr>
                <w:sz w:val="17"/>
              </w:rPr>
              <w:t>Replay fixture</w:t>
            </w:r>
          </w:p>
        </w:tc>
        <w:tc>
          <w:tcPr>
            <w:tcW w:type="dxa" w:w="3312"/>
            <w:vAlign w:val="center"/>
          </w:tcPr>
          <w:p>
            <w:r>
              <w:rPr>
                <w:sz w:val="17"/>
              </w:rPr>
              <w:t>Internal only</w:t>
            </w:r>
          </w:p>
        </w:tc>
        <w:tc>
          <w:tcPr>
            <w:tcW w:type="dxa" w:w="3312"/>
            <w:vAlign w:val="center"/>
          </w:tcPr>
          <w:p>
            <w:r>
              <w:rPr>
                <w:sz w:val="17"/>
              </w:rPr>
              <w:t>internal_test_controls/*</w:t>
            </w:r>
          </w:p>
        </w:tc>
      </w:tr>
    </w:tbl>
    <w:p>
      <w:pPr>
        <w:pStyle w:val="Heading1"/>
      </w:pPr>
      <w:r>
        <w:t>7. Internal replay fixture</w:t>
      </w:r>
    </w:p>
    <w:p>
      <w:r>
        <w:t>The replay sequence is test-fixture metadata, not product navigation. It may load supplier messages, bids or later performance records after prerequisite actions, but the product must display ordinary business states and actions. Stage numbers, evidence-release labels, source aliases, countdowns and locked-module cards are prohibited in the customer UI.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8"/>
              </w:rPr>
              <w:t>Internal checkpoint</w:t>
            </w:r>
          </w:p>
        </w:tc>
        <w:tc>
          <w:tcPr>
            <w:tcW w:type="dxa" w:w="3312"/>
            <w:shd w:fill="1F4E79"/>
          </w:tcPr>
          <w:p>
            <w:r>
              <w:rPr>
                <w:b/>
                <w:color w:val="FFFFFF"/>
                <w:sz w:val="18"/>
              </w:rPr>
              <w:t>Prerequisite business action</w:t>
            </w:r>
          </w:p>
        </w:tc>
        <w:tc>
          <w:tcPr>
            <w:tcW w:type="dxa" w:w="3312"/>
            <w:shd w:fill="1F4E79"/>
          </w:tcPr>
          <w:p>
            <w:r>
              <w:rPr>
                <w:b/>
                <w:color w:val="FFFFFF"/>
                <w:sz w:val="18"/>
              </w:rPr>
              <w:t>Fixture evidence loaded</w:t>
            </w:r>
          </w:p>
        </w:tc>
      </w:tr>
      <w:tr>
        <w:tc>
          <w:tcPr>
            <w:tcW w:type="dxa" w:w="3312"/>
            <w:vAlign w:val="center"/>
          </w:tcPr>
          <w:p>
            <w:r>
              <w:rPr>
                <w:sz w:val="17"/>
              </w:rPr>
              <w:t>00 Foundation</w:t>
            </w:r>
          </w:p>
        </w:tc>
        <w:tc>
          <w:tcPr>
            <w:tcW w:type="dxa" w:w="3312"/>
            <w:vAlign w:val="center"/>
          </w:tcPr>
          <w:p>
            <w:r>
              <w:rPr>
                <w:sz w:val="17"/>
              </w:rPr>
              <w:t>Open prototype and select European road freight event</w:t>
            </w:r>
          </w:p>
        </w:tc>
        <w:tc>
          <w:tcPr>
            <w:tcW w:type="dxa" w:w="3312"/>
            <w:vAlign w:val="center"/>
          </w:tcPr>
          <w:p>
            <w:r>
              <w:rPr>
                <w:sz w:val="17"/>
              </w:rPr>
              <w:t>Suppliers, lanes, contracts, 12-month baseline</w:t>
            </w:r>
          </w:p>
        </w:tc>
      </w:tr>
      <w:tr>
        <w:tc>
          <w:tcPr>
            <w:tcW w:type="dxa" w:w="3312"/>
            <w:vAlign w:val="center"/>
          </w:tcPr>
          <w:p>
            <w:r>
              <w:rPr>
                <w:sz w:val="17"/>
              </w:rPr>
              <w:t>01 Baseline review</w:t>
            </w:r>
          </w:p>
        </w:tc>
        <w:tc>
          <w:tcPr>
            <w:tcW w:type="dxa" w:w="3312"/>
            <w:vAlign w:val="center"/>
          </w:tcPr>
          <w:p>
            <w:r>
              <w:rPr>
                <w:sz w:val="17"/>
              </w:rPr>
              <w:t>Review vendor profiles and incumbent history</w:t>
            </w:r>
          </w:p>
        </w:tc>
        <w:tc>
          <w:tcPr>
            <w:tcW w:type="dxa" w:w="3312"/>
            <w:vAlign w:val="center"/>
          </w:tcPr>
          <w:p>
            <w:r>
              <w:rPr>
                <w:sz w:val="17"/>
              </w:rPr>
              <w:t>Shipments, invoices, incidents, monthly scores</w:t>
            </w:r>
          </w:p>
        </w:tc>
      </w:tr>
      <w:tr>
        <w:tc>
          <w:tcPr>
            <w:tcW w:type="dxa" w:w="3312"/>
            <w:vAlign w:val="center"/>
          </w:tcPr>
          <w:p>
            <w:r>
              <w:rPr>
                <w:sz w:val="17"/>
              </w:rPr>
              <w:t>02 Create event</w:t>
            </w:r>
          </w:p>
        </w:tc>
        <w:tc>
          <w:tcPr>
            <w:tcW w:type="dxa" w:w="3312"/>
            <w:vAlign w:val="center"/>
          </w:tcPr>
          <w:p>
            <w:r>
              <w:rPr>
                <w:sz w:val="17"/>
              </w:rPr>
              <w:t>Generate and edit RFP/ITT</w:t>
            </w:r>
          </w:p>
        </w:tc>
        <w:tc>
          <w:tcPr>
            <w:tcW w:type="dxa" w:w="3312"/>
            <w:vAlign w:val="center"/>
          </w:tcPr>
          <w:p>
            <w:r>
              <w:rPr>
                <w:sz w:val="17"/>
              </w:rPr>
              <w:t>Sourcing event, requirements, bilingual documents</w:t>
            </w:r>
          </w:p>
        </w:tc>
      </w:tr>
      <w:tr>
        <w:tc>
          <w:tcPr>
            <w:tcW w:type="dxa" w:w="3312"/>
            <w:vAlign w:val="center"/>
          </w:tcPr>
          <w:p>
            <w:r>
              <w:rPr>
                <w:sz w:val="17"/>
              </w:rPr>
              <w:t>03 Invite suppliers</w:t>
            </w:r>
          </w:p>
        </w:tc>
        <w:tc>
          <w:tcPr>
            <w:tcW w:type="dxa" w:w="3312"/>
            <w:vAlign w:val="center"/>
          </w:tcPr>
          <w:p>
            <w:r>
              <w:rPr>
                <w:sz w:val="17"/>
              </w:rPr>
              <w:t>Select suppliers and send invitations</w:t>
            </w:r>
          </w:p>
        </w:tc>
        <w:tc>
          <w:tcPr>
            <w:tcW w:type="dxa" w:w="3312"/>
            <w:vAlign w:val="center"/>
          </w:tcPr>
          <w:p>
            <w:r>
              <w:rPr>
                <w:sz w:val="17"/>
              </w:rPr>
              <w:t>Outgoing EN/DE invitation emails</w:t>
            </w:r>
          </w:p>
        </w:tc>
      </w:tr>
      <w:tr>
        <w:tc>
          <w:tcPr>
            <w:tcW w:type="dxa" w:w="3312"/>
            <w:vAlign w:val="center"/>
          </w:tcPr>
          <w:p>
            <w:r>
              <w:rPr>
                <w:sz w:val="17"/>
              </w:rPr>
              <w:t>04 Clarifications</w:t>
            </w:r>
          </w:p>
        </w:tc>
        <w:tc>
          <w:tcPr>
            <w:tcW w:type="dxa" w:w="3312"/>
            <w:vAlign w:val="center"/>
          </w:tcPr>
          <w:p>
            <w:r>
              <w:rPr>
                <w:sz w:val="17"/>
              </w:rPr>
              <w:t>Review classified inbox and answer a question</w:t>
            </w:r>
          </w:p>
        </w:tc>
        <w:tc>
          <w:tcPr>
            <w:tcW w:type="dxa" w:w="3312"/>
            <w:vAlign w:val="center"/>
          </w:tcPr>
          <w:p>
            <w:r>
              <w:rPr>
                <w:sz w:val="17"/>
              </w:rPr>
              <w:t>Relevant, irrelevant and ambiguous emails</w:t>
            </w:r>
          </w:p>
        </w:tc>
      </w:tr>
      <w:tr>
        <w:tc>
          <w:tcPr>
            <w:tcW w:type="dxa" w:w="3312"/>
            <w:vAlign w:val="center"/>
          </w:tcPr>
          <w:p>
            <w:r>
              <w:rPr>
                <w:sz w:val="17"/>
              </w:rPr>
              <w:t>05 Receive bids</w:t>
            </w:r>
          </w:p>
        </w:tc>
        <w:tc>
          <w:tcPr>
            <w:tcW w:type="dxa" w:w="3312"/>
            <w:vAlign w:val="center"/>
          </w:tcPr>
          <w:p>
            <w:r>
              <w:rPr>
                <w:sz w:val="17"/>
              </w:rPr>
              <w:t>Import bids and accept revised rate card</w:t>
            </w:r>
          </w:p>
        </w:tc>
        <w:tc>
          <w:tcPr>
            <w:tcW w:type="dxa" w:w="3312"/>
            <w:vAlign w:val="center"/>
          </w:tcPr>
          <w:p>
            <w:r>
              <w:rPr>
                <w:sz w:val="17"/>
              </w:rPr>
              <w:t>Four bids, lane rates, bid attachments</w:t>
            </w:r>
          </w:p>
        </w:tc>
      </w:tr>
      <w:tr>
        <w:tc>
          <w:tcPr>
            <w:tcW w:type="dxa" w:w="3312"/>
            <w:vAlign w:val="center"/>
          </w:tcPr>
          <w:p>
            <w:r>
              <w:rPr>
                <w:sz w:val="17"/>
              </w:rPr>
              <w:t>06 Evaluate and award</w:t>
            </w:r>
          </w:p>
        </w:tc>
        <w:tc>
          <w:tcPr>
            <w:tcW w:type="dxa" w:w="3312"/>
            <w:vAlign w:val="center"/>
          </w:tcPr>
          <w:p>
            <w:r>
              <w:rPr>
                <w:sz w:val="17"/>
              </w:rPr>
              <w:t>Review gates, scores and award scenarios</w:t>
            </w:r>
          </w:p>
        </w:tc>
        <w:tc>
          <w:tcPr>
            <w:tcW w:type="dxa" w:w="3312"/>
            <w:vAlign w:val="center"/>
          </w:tcPr>
          <w:p>
            <w:r>
              <w:rPr>
                <w:sz w:val="17"/>
              </w:rPr>
              <w:t>Evaluation, qualification evidence, scenarios</w:t>
            </w:r>
          </w:p>
        </w:tc>
      </w:tr>
      <w:tr>
        <w:tc>
          <w:tcPr>
            <w:tcW w:type="dxa" w:w="3312"/>
            <w:vAlign w:val="center"/>
          </w:tcPr>
          <w:p>
            <w:r>
              <w:rPr>
                <w:sz w:val="17"/>
              </w:rPr>
              <w:t>07 Monitor performance</w:t>
            </w:r>
          </w:p>
        </w:tc>
        <w:tc>
          <w:tcPr>
            <w:tcW w:type="dxa" w:w="3312"/>
            <w:vAlign w:val="center"/>
          </w:tcPr>
          <w:p>
            <w:r>
              <w:rPr>
                <w:sz w:val="17"/>
              </w:rPr>
              <w:t>Advance simulated time and review alert</w:t>
            </w:r>
          </w:p>
        </w:tc>
        <w:tc>
          <w:tcPr>
            <w:tcW w:type="dxa" w:w="3312"/>
            <w:vAlign w:val="center"/>
          </w:tcPr>
          <w:p>
            <w:r>
              <w:rPr>
                <w:sz w:val="17"/>
              </w:rPr>
              <w:t>Post-award KPI deterioration and incidents</w:t>
            </w:r>
          </w:p>
        </w:tc>
      </w:tr>
      <w:tr>
        <w:tc>
          <w:tcPr>
            <w:tcW w:type="dxa" w:w="3312"/>
            <w:vAlign w:val="center"/>
          </w:tcPr>
          <w:p>
            <w:r>
              <w:rPr>
                <w:sz w:val="17"/>
              </w:rPr>
              <w:t>08 Corrective action</w:t>
            </w:r>
          </w:p>
        </w:tc>
        <w:tc>
          <w:tcPr>
            <w:tcW w:type="dxa" w:w="3312"/>
            <w:vAlign w:val="center"/>
          </w:tcPr>
          <w:p>
            <w:r>
              <w:rPr>
                <w:sz w:val="17"/>
              </w:rPr>
              <w:t>Generate and send German corrective-action request</w:t>
            </w:r>
          </w:p>
        </w:tc>
        <w:tc>
          <w:tcPr>
            <w:tcW w:type="dxa" w:w="3312"/>
            <w:vAlign w:val="center"/>
          </w:tcPr>
          <w:p>
            <w:r>
              <w:rPr>
                <w:sz w:val="17"/>
              </w:rPr>
              <w:t>Corrective-action evidence and outgoing email</w:t>
            </w:r>
          </w:p>
        </w:tc>
      </w:tr>
    </w:tbl>
    <w:p>
      <w:pPr>
        <w:pStyle w:val="Heading1"/>
      </w:pPr>
      <w:r>
        <w:t>8. Language and conventions</w:t>
      </w:r>
    </w:p>
    <w:p>
      <w:r>
        <w:t>The interface and authored English use British English. German is used for selected tender, supplier and corrective-action communications. Currency is EUR. Dates are stored in ISO 8601 format in structured files.</w:t>
      </w:r>
    </w:p>
    <w:p>
      <w:pPr>
        <w:pStyle w:val="Heading1"/>
      </w:pPr>
      <w:r>
        <w:t>9. Synthetic-data limitations</w:t>
      </w:r>
    </w:p>
    <w:p>
      <w:r>
        <w:t>All organisations, people, addresses, transactions and performance outcomes in this package are fictional. The .example domain prevents accidental delivery. The data is designed for product demonstration and test execution, not benchmarking or production decisions.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