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2E74B5"/>
          <w:sz w:val="20"/>
        </w:rPr>
        <w:t>PROSERA COMPASS</w:t>
      </w:r>
    </w:p>
    <w:p>
      <w:pPr>
        <w:spacing w:after="120"/>
      </w:pPr>
      <w:r>
        <w:rPr>
          <w:b/>
          <w:color w:val="17365D"/>
          <w:sz w:val="60"/>
        </w:rPr>
        <w:t>Compass Logistics Procurement</w:t>
      </w:r>
    </w:p>
    <w:p>
      <w:pPr>
        <w:spacing w:after="400"/>
      </w:pPr>
      <w:r>
        <w:t>Future Energy Adaptation Business Requirements Document</w:t>
      </w:r>
    </w:p>
    <w:tbl>
      <w:tblPr>
        <w:tblStyle w:val="TableGrid"/>
        <w:tblW w:type="dxa" w:w="9360"/>
        <w:jc w:val="left"/>
        <w:tblLayout w:type="fixed"/>
        <w:tblLook w:firstColumn="1" w:firstRow="1" w:lastColumn="0" w:lastRow="0" w:noHBand="0" w:noVBand="1" w:val="04A0"/>
        <w:tblInd w:w="120" w:type="dxa"/>
      </w:tblPr>
      <w:tblGrid>
        <w:gridCol w:w="2400"/>
        <w:gridCol w:w="6960"/>
      </w:tblGrid>
      <w:tr>
        <w:trPr>
          <w:tblHeader w:val="true"/>
        </w:trPr>
        <w:tc>
          <w:tcPr>
            <w:tcW w:type="dxa" w:w="2400"/>
            <w:shd w:fill="E8EEF5"/>
            <w:vAlign w:val="center"/>
            <w:tcMar>
              <w:top w:w="80" w:type="dxa"/>
              <w:start w:w="120" w:type="dxa"/>
              <w:bottom w:w="80" w:type="dxa"/>
              <w:end w:w="120" w:type="dxa"/>
            </w:tcMar>
          </w:tcPr>
          <w:p>
            <w:r>
              <w:rPr>
                <w:b/>
                <w:color w:val="17365D"/>
                <w:sz w:val="19"/>
              </w:rPr>
              <w:t>Document</w:t>
            </w:r>
          </w:p>
        </w:tc>
        <w:tc>
          <w:tcPr>
            <w:tcW w:type="dxa" w:w="6960"/>
            <w:shd w:fill="E8EEF5"/>
            <w:vAlign w:val="center"/>
            <w:tcMar>
              <w:top w:w="80" w:type="dxa"/>
              <w:start w:w="120" w:type="dxa"/>
              <w:bottom w:w="80" w:type="dxa"/>
              <w:end w:w="120" w:type="dxa"/>
            </w:tcMar>
          </w:tcPr>
          <w:p>
            <w:r>
              <w:rPr>
                <w:b/>
                <w:color w:val="17365D"/>
                <w:sz w:val="19"/>
              </w:rPr>
              <w:t>Value</w:t>
            </w:r>
          </w:p>
        </w:tc>
      </w:tr>
      <w:tr>
        <w:trPr>
          <w:cantSplit/>
        </w:trPr>
        <w:tc>
          <w:tcPr>
            <w:tcW w:type="dxa" w:w="2400"/>
            <w:vAlign w:val="top"/>
            <w:tcMar>
              <w:top w:w="80" w:type="dxa"/>
              <w:start w:w="120" w:type="dxa"/>
              <w:bottom w:w="80" w:type="dxa"/>
              <w:end w:w="120" w:type="dxa"/>
            </w:tcMar>
          </w:tcPr>
          <w:p>
            <w:pPr>
              <w:spacing w:after="0"/>
            </w:pPr>
            <w:r>
              <w:rPr>
                <w:sz w:val="19"/>
              </w:rPr>
              <w:t>Document status</w:t>
            </w:r>
          </w:p>
        </w:tc>
        <w:tc>
          <w:tcPr>
            <w:tcW w:type="dxa" w:w="6960"/>
            <w:vAlign w:val="top"/>
            <w:tcMar>
              <w:top w:w="80" w:type="dxa"/>
              <w:start w:w="120" w:type="dxa"/>
              <w:bottom w:w="80" w:type="dxa"/>
              <w:end w:w="120" w:type="dxa"/>
            </w:tcMar>
          </w:tcPr>
          <w:p>
            <w:pPr>
              <w:spacing w:after="0"/>
            </w:pPr>
            <w:r>
              <w:rPr>
                <w:sz w:val="19"/>
              </w:rPr>
              <w:t>Draft amendment for review</w:t>
            </w:r>
          </w:p>
        </w:tc>
      </w:tr>
      <w:tr>
        <w:trPr>
          <w:cantSplit/>
        </w:trPr>
        <w:tc>
          <w:tcPr>
            <w:tcW w:type="dxa" w:w="2400"/>
            <w:vAlign w:val="top"/>
            <w:tcMar>
              <w:top w:w="80" w:type="dxa"/>
              <w:start w:w="120" w:type="dxa"/>
              <w:bottom w:w="80" w:type="dxa"/>
              <w:end w:w="120" w:type="dxa"/>
            </w:tcMar>
          </w:tcPr>
          <w:p>
            <w:pPr>
              <w:spacing w:after="0"/>
            </w:pPr>
            <w:r>
              <w:rPr>
                <w:sz w:val="19"/>
              </w:rPr>
              <w:t>Version</w:t>
            </w:r>
          </w:p>
        </w:tc>
        <w:tc>
          <w:tcPr>
            <w:tcW w:type="dxa" w:w="6960"/>
            <w:vAlign w:val="top"/>
            <w:tcMar>
              <w:top w:w="80" w:type="dxa"/>
              <w:start w:w="120" w:type="dxa"/>
              <w:bottom w:w="80" w:type="dxa"/>
              <w:end w:w="120" w:type="dxa"/>
            </w:tcMar>
          </w:tcPr>
          <w:p>
            <w:r>
              <w:t>0.6</w:t>
            </w:r>
          </w:p>
        </w:tc>
      </w:tr>
      <w:tr>
        <w:trPr>
          <w:cantSplit/>
        </w:trPr>
        <w:tc>
          <w:tcPr>
            <w:tcW w:type="dxa" w:w="2400"/>
            <w:vAlign w:val="top"/>
            <w:tcMar>
              <w:top w:w="80" w:type="dxa"/>
              <w:start w:w="120" w:type="dxa"/>
              <w:bottom w:w="80" w:type="dxa"/>
              <w:end w:w="120" w:type="dxa"/>
            </w:tcMar>
          </w:tcPr>
          <w:p>
            <w:pPr>
              <w:spacing w:after="0"/>
            </w:pPr>
            <w:r>
              <w:rPr>
                <w:sz w:val="19"/>
              </w:rPr>
              <w:t>Date</w:t>
            </w:r>
          </w:p>
        </w:tc>
        <w:tc>
          <w:tcPr>
            <w:tcW w:type="dxa" w:w="6960"/>
            <w:vAlign w:val="top"/>
            <w:tcMar>
              <w:top w:w="80" w:type="dxa"/>
              <w:start w:w="120" w:type="dxa"/>
              <w:bottom w:w="80" w:type="dxa"/>
              <w:end w:w="120" w:type="dxa"/>
            </w:tcMar>
          </w:tcPr>
          <w:p>
            <w:r>
              <w:t>23 September 2026</w:t>
            </w:r>
          </w:p>
        </w:tc>
      </w:tr>
      <w:tr>
        <w:trPr>
          <w:cantSplit/>
        </w:trPr>
        <w:tc>
          <w:tcPr>
            <w:tcW w:type="dxa" w:w="2400"/>
            <w:vAlign w:val="top"/>
            <w:tcMar>
              <w:top w:w="80" w:type="dxa"/>
              <w:start w:w="120" w:type="dxa"/>
              <w:bottom w:w="80" w:type="dxa"/>
              <w:end w:w="120" w:type="dxa"/>
            </w:tcMar>
          </w:tcPr>
          <w:p>
            <w:pPr>
              <w:spacing w:after="0"/>
            </w:pPr>
            <w:r>
              <w:rPr>
                <w:sz w:val="19"/>
              </w:rPr>
              <w:t>Prepared by</w:t>
            </w:r>
          </w:p>
        </w:tc>
        <w:tc>
          <w:tcPr>
            <w:tcW w:type="dxa" w:w="6960"/>
            <w:vAlign w:val="top"/>
            <w:tcMar>
              <w:top w:w="80" w:type="dxa"/>
              <w:start w:w="120" w:type="dxa"/>
              <w:bottom w:w="80" w:type="dxa"/>
              <w:end w:w="120" w:type="dxa"/>
            </w:tcMar>
          </w:tcPr>
          <w:p>
            <w:pPr>
              <w:spacing w:after="0"/>
            </w:pPr>
            <w:r>
              <w:rPr>
                <w:sz w:val="19"/>
              </w:rPr>
              <w:t>Prosera Inc.</w:t>
            </w:r>
          </w:p>
        </w:tc>
      </w:tr>
      <w:tr>
        <w:trPr>
          <w:cantSplit/>
        </w:trPr>
        <w:tc>
          <w:tcPr>
            <w:tcW w:type="dxa" w:w="2400"/>
            <w:vAlign w:val="top"/>
            <w:tcMar>
              <w:top w:w="80" w:type="dxa"/>
              <w:start w:w="120" w:type="dxa"/>
              <w:bottom w:w="80" w:type="dxa"/>
              <w:end w:w="120" w:type="dxa"/>
            </w:tcMar>
          </w:tcPr>
          <w:p>
            <w:pPr>
              <w:spacing w:after="0"/>
            </w:pPr>
            <w:r>
              <w:rPr>
                <w:sz w:val="19"/>
              </w:rPr>
              <w:t>Intended audience</w:t>
            </w:r>
          </w:p>
        </w:tc>
        <w:tc>
          <w:tcPr>
            <w:tcW w:type="dxa" w:w="6960"/>
            <w:vAlign w:val="top"/>
            <w:tcMar>
              <w:top w:w="80" w:type="dxa"/>
              <w:start w:w="120" w:type="dxa"/>
              <w:bottom w:w="80" w:type="dxa"/>
              <w:end w:w="120" w:type="dxa"/>
            </w:tcMar>
          </w:tcPr>
          <w:p>
            <w:pPr>
              <w:spacing w:after="0"/>
            </w:pPr>
            <w:r>
              <w:rPr>
                <w:sz w:val="19"/>
              </w:rPr>
              <w:t>Business, procurement, logistics, finance, operations, data/IT and product stakeholders</w:t>
            </w:r>
          </w:p>
        </w:tc>
      </w:tr>
      <w:tr>
        <w:trPr>
          <w:cantSplit/>
        </w:trPr>
        <w:tc>
          <w:tcPr>
            <w:tcW w:type="dxa" w:w="2400"/>
            <w:vAlign w:val="top"/>
            <w:tcMar>
              <w:top w:w="80" w:type="dxa"/>
              <w:start w:w="120" w:type="dxa"/>
              <w:bottom w:w="80" w:type="dxa"/>
              <w:end w:w="120" w:type="dxa"/>
            </w:tcMar>
          </w:tcPr>
          <w:p>
            <w:pPr>
              <w:spacing w:after="0"/>
            </w:pPr>
            <w:r>
              <w:rPr>
                <w:sz w:val="19"/>
              </w:rPr>
              <w:t>Prototype positioning</w:t>
            </w:r>
          </w:p>
        </w:tc>
        <w:tc>
          <w:tcPr>
            <w:tcW w:type="dxa" w:w="6960"/>
            <w:vAlign w:val="top"/>
            <w:tcMar>
              <w:top w:w="80" w:type="dxa"/>
              <w:start w:w="120" w:type="dxa"/>
              <w:bottom w:w="80" w:type="dxa"/>
              <w:end w:w="120" w:type="dxa"/>
            </w:tcMar>
          </w:tcPr>
          <w:p>
            <w:pPr>
              <w:spacing w:after="0"/>
            </w:pPr>
            <w:r>
              <w:rPr>
                <w:sz w:val="19"/>
              </w:rPr>
              <w:t>Generic logistics-services procurement and vendor performance capability; not customer-branded</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F4F6F9"/>
            <w:tcMar>
              <w:top w:w="80" w:type="dxa"/>
              <w:start w:w="120" w:type="dxa"/>
              <w:bottom w:w="80" w:type="dxa"/>
              <w:end w:w="120" w:type="dxa"/>
            </w:tcMar>
          </w:tcPr>
          <w:p>
            <w:r/>
            <w:r>
              <w:rPr>
                <w:b/>
                <w:color w:val="17365D"/>
              </w:rPr>
              <w:t xml:space="preserve">Purpose: </w:t>
            </w:r>
            <w:r>
              <w:t>Define the business requirements for a limited, data-grounded prototype that demonstrates an end-to-end logistics-services procurement lifecycle, including native vendor profiles, transparent vendor performance scoring, post-award monitoring and the reuse of performance history in future sourcing decisions.</w:t>
            </w:r>
          </w:p>
        </w:tc>
      </w:tr>
    </w:tbl>
    <w:p>
      <w:pPr>
        <w:spacing w:after="0"/>
      </w:pPr>
    </w:p>
    <w:p>
      <w:pPr>
        <w:pStyle w:val="Heading1"/>
      </w:pPr>
      <w:r>
        <w:t>1. Executive Summary</w:t>
      </w:r>
    </w:p>
    <w:p>
      <w:r>
        <w:t>Compass Logistics Procurement is a logistics-services adaptation and extension of the existing Future Energy procurement prototype. Future Energy remains the baseline for navigation, page structure, Action Centre behaviour, sourcing workspace, document handling, supplier communications, qualification gates, bid evaluation, approvals, audit history and evidence presentation. The limited prototype changes only the business content required for European road-freight procurement and adds Vendor 360 and post-award performance management.</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F4F6F9"/>
            <w:tcMar>
              <w:top w:w="80" w:type="dxa"/>
              <w:start w:w="120" w:type="dxa"/>
              <w:bottom w:w="80" w:type="dxa"/>
              <w:end w:w="120" w:type="dxa"/>
            </w:tcMar>
          </w:tcPr>
          <w:p>
            <w:r/>
            <w:r>
              <w:rPr>
                <w:b/>
                <w:color w:val="17365D"/>
              </w:rPr>
              <w:t xml:space="preserve">Core product principle: </w:t>
            </w:r>
            <w:r>
              <w:t>Contract award is not the end of the workflow. It creates the measurable baseline against which execution is monitored. Actual vendor performance then becomes governed evidence in the vendor profile and in subsequent sourcing decisions.</w:t>
            </w:r>
          </w:p>
        </w:tc>
      </w:tr>
    </w:tbl>
    <w:p>
      <w:pPr>
        <w:spacing w:after="0"/>
      </w:pPr>
    </w:p>
    <w:p>
      <w:r>
        <w:t>The prototype is initially focused on European road-freight services because lanes, forecast volumes, rates, service commitments and incumbent performance provide a clear and credible decision story. It must remain configurable for other logistics-services categories and must not contain Birkenstock branding or assume Birkenstock-specific operating rules.</w:t>
      </w:r>
    </w:p>
    <w:p>
      <w:pPr>
        <w:pStyle w:val="Heading1"/>
      </w:pPr>
      <w:r>
        <w:t>2. Business Context and Problem Statement</w:t>
      </w:r>
    </w:p>
    <w:p>
      <w:pPr>
        <w:pStyle w:val="Heading1"/>
      </w:pPr>
      <w:r>
        <w:t>1.1 Future Energy baseline and amendment approach</w:t>
      </w:r>
    </w:p>
    <w:p>
      <w:r>
        <w:t>This document is an amendment to the Future Energy product scope, not authority to design a separate application. Where this BRD does not expressly change a Future Energy behaviour or screen, the existing Future Energy pattern remains the requirement.</w:t>
      </w: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80"/>
        <w:gridCol w:w="4680"/>
      </w:tblGrid>
      <w:tr>
        <w:tc>
          <w:tcPr>
            <w:tcW w:type="dxa" w:w="4680"/>
            <w:vAlign w:val="center"/>
            <w:shd w:fill="1F4E79"/>
          </w:tcPr>
          <w:p>
            <w:r>
              <w:rPr>
                <w:b/>
                <w:color w:val="FFFFFF"/>
                <w:sz w:val="18"/>
              </w:rPr>
              <w:t>Treatment</w:t>
            </w:r>
          </w:p>
        </w:tc>
        <w:tc>
          <w:tcPr>
            <w:tcW w:type="dxa" w:w="4680"/>
            <w:vAlign w:val="center"/>
            <w:shd w:fill="1F4E79"/>
          </w:tcPr>
          <w:p>
            <w:r>
              <w:rPr>
                <w:b/>
                <w:color w:val="FFFFFF"/>
                <w:sz w:val="18"/>
              </w:rPr>
              <w:t>Requirement</w:t>
            </w:r>
          </w:p>
        </w:tc>
      </w:tr>
      <w:tr>
        <w:tc>
          <w:tcPr>
            <w:tcW w:type="dxa" w:w="4680"/>
            <w:vAlign w:val="center"/>
          </w:tcPr>
          <w:p>
            <w:r>
              <w:rPr>
                <w:sz w:val="18"/>
              </w:rPr>
              <w:t>Retain</w:t>
            </w:r>
          </w:p>
        </w:tc>
        <w:tc>
          <w:tcPr>
            <w:tcW w:type="dxa" w:w="4680"/>
            <w:vAlign w:val="center"/>
          </w:tcPr>
          <w:p>
            <w:r>
              <w:rPr>
                <w:sz w:val="18"/>
              </w:rPr>
              <w:t>Future Energy navigation, Action Centre, sourcing workspace, RFP/ITT authoring, communications, bid evaluation, approvals, audit trail and evidence patterns.</w:t>
            </w:r>
          </w:p>
        </w:tc>
      </w:tr>
      <w:tr>
        <w:tc>
          <w:tcPr>
            <w:tcW w:type="dxa" w:w="4680"/>
            <w:vAlign w:val="center"/>
            <w:shd w:fill="F2F6FA"/>
          </w:tcPr>
          <w:p>
            <w:r>
              <w:rPr>
                <w:sz w:val="18"/>
              </w:rPr>
              <w:t>Adapt</w:t>
            </w:r>
          </w:p>
        </w:tc>
        <w:tc>
          <w:tcPr>
            <w:tcW w:type="dxa" w:w="4680"/>
            <w:vAlign w:val="center"/>
            <w:shd w:fill="F2F6FA"/>
          </w:tcPr>
          <w:p>
            <w:r>
              <w:rPr>
                <w:sz w:val="18"/>
              </w:rPr>
              <w:t>Parts and quantities become lanes, forecast volumes, carrier capacity, service levels, rate cards, surcharges and logistics contract terms.</w:t>
            </w:r>
          </w:p>
        </w:tc>
      </w:tr>
      <w:tr>
        <w:tc>
          <w:tcPr>
            <w:tcW w:type="dxa" w:w="4680"/>
            <w:vAlign w:val="center"/>
          </w:tcPr>
          <w:p>
            <w:r>
              <w:rPr>
                <w:sz w:val="18"/>
              </w:rPr>
              <w:t>Add</w:t>
            </w:r>
          </w:p>
        </w:tc>
        <w:tc>
          <w:tcPr>
            <w:tcW w:type="dxa" w:w="4680"/>
            <w:vAlign w:val="center"/>
          </w:tcPr>
          <w:p>
            <w:r>
              <w:rPr>
                <w:sz w:val="18"/>
              </w:rPr>
              <w:t>Vendor 360, transparent supplier-performance scoring, contract/SLA monitoring, performance actions, corrective action and British English/German content.</w:t>
            </w:r>
          </w:p>
        </w:tc>
      </w:tr>
      <w:tr>
        <w:tc>
          <w:tcPr>
            <w:tcW w:type="dxa" w:w="4680"/>
            <w:vAlign w:val="center"/>
            <w:shd w:fill="F2F6FA"/>
          </w:tcPr>
          <w:p>
            <w:r>
              <w:rPr>
                <w:sz w:val="18"/>
              </w:rPr>
              <w:t>Remove</w:t>
            </w:r>
          </w:p>
        </w:tc>
        <w:tc>
          <w:tcPr>
            <w:tcW w:type="dxa" w:w="4680"/>
            <w:vAlign w:val="center"/>
            <w:shd w:fill="F2F6FA"/>
          </w:tcPr>
          <w:p>
            <w:r>
              <w:rPr>
                <w:sz w:val="18"/>
              </w:rPr>
              <w:t>Physical-inventory validation, technical equivalency, preservation, certification, project reservation and other direct-material-specific logic.</w:t>
            </w:r>
          </w:p>
        </w:tc>
      </w:tr>
    </w:tbl>
    <w:p>
      <w:r>
        <w:t>Logistics procurement is often fragmented across spreadsheets, email, documents, transport systems, ERP records, contract repositories and vendor-management tools. Buyers may compare rates without a complete view of incumbent performance; awarded commitments may not become operational monitoring rules; supplier scorecards may be periodic, manual and backward-looking; and renewal events may begin without a reliable record of what was promised and what occurred.</w:t>
      </w:r>
    </w:p>
    <w:p>
      <w:r>
        <w:t>The business need is for a governed workflow that connects sourcing decisions to operational execution. Compass should help users understand what to source, build a decision-ready requirement, evaluate the market using both bid content and available vendor history, retain the award rationale, monitor actual delivery against contractual commitments and recommend timely actions.</w:t>
      </w:r>
    </w:p>
    <w:p>
      <w:pPr>
        <w:pStyle w:val="Heading1"/>
      </w:pPr>
      <w:r>
        <w:t>3. Objectives and Expected Business Outcomes</w:t>
      </w:r>
    </w:p>
    <w:p>
      <w:pPr>
        <w:pStyle w:val="ListBullet"/>
      </w:pPr>
      <w:r>
        <w:t>Reduce manual effort and cycle time in constructing and administering logistics sourcing events.</w:t>
      </w:r>
    </w:p>
    <w:p>
      <w:pPr>
        <w:pStyle w:val="ListBullet"/>
      </w:pPr>
      <w:r>
        <w:t>Improve consistency, comparability and traceability of carrier bids across rates, service, capacity and commercial terms.</w:t>
      </w:r>
    </w:p>
    <w:p>
      <w:pPr>
        <w:pStyle w:val="ListBullet"/>
      </w:pPr>
      <w:r>
        <w:t>Make incumbent vendor history and performance visible at the point of evaluation without inventing history for new vendors.</w:t>
      </w:r>
    </w:p>
    <w:p>
      <w:pPr>
        <w:pStyle w:val="ListBullet"/>
      </w:pPr>
      <w:r>
        <w:t>Translate awarded commitments into measurable post-award obligations and monitor actual execution against them.</w:t>
      </w:r>
    </w:p>
    <w:p>
      <w:pPr>
        <w:pStyle w:val="ListBullet"/>
      </w:pPr>
      <w:r>
        <w:t>Identify performance deterioration, commercial leakage and renewal risk early enough for a user to act.</w:t>
      </w:r>
    </w:p>
    <w:p>
      <w:pPr>
        <w:pStyle w:val="ListBullet"/>
      </w:pPr>
      <w:r>
        <w:t>Create an auditable link from requirement and evaluation criteria through recommendation, approval, contract baseline, performance evidence and future sourcing decisions.</w:t>
      </w:r>
    </w:p>
    <w:p>
      <w:pPr>
        <w:pStyle w:val="ListBullet"/>
      </w:pPr>
      <w:r>
        <w:t>Demonstrate how agentic assistance produces explainable recommendations while preserving human authority.</w:t>
      </w:r>
    </w:p>
    <w:p>
      <w:pPr>
        <w:pStyle w:val="Heading2"/>
      </w:pPr>
      <w:r>
        <w:t>3.1 Prototype success hypothesis</w:t>
      </w:r>
    </w:p>
    <w:p>
      <w:r>
        <w:t>Using a limited synthetic or customer-approved historical dataset, Compass can demonstrate that a logistics buyer would reach a more complete, transparent and actionable sourcing decision when carrier proposals are evaluated together with vendor history, and can continue to govern that decision by monitoring subsequent execution.</w:t>
      </w:r>
    </w:p>
    <w:p>
      <w:pPr/>
      <w:r>
        <w:t>Interactive prototype principle: The limited prototype must support real user actions and retain their consequences. Synthetic evidence may be loaded by an internal replay fixture, but checkpoint names, release controls, source aliases and test-state language must not appear in the customer-facing interface.</w:t>
      </w:r>
    </w:p>
    <w:p>
      <w:pPr>
        <w:pStyle w:val="Heading1"/>
      </w:pPr>
      <w:r>
        <w:t>4. Scope</w:t>
      </w:r>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4680"/>
            <w:shd w:fill="E8EEF5"/>
            <w:vAlign w:val="center"/>
            <w:tcMar>
              <w:top w:w="80" w:type="dxa"/>
              <w:start w:w="120" w:type="dxa"/>
              <w:bottom w:w="80" w:type="dxa"/>
              <w:end w:w="120" w:type="dxa"/>
            </w:tcMar>
          </w:tcPr>
          <w:p>
            <w:r>
              <w:rPr>
                <w:b/>
                <w:color w:val="17365D"/>
                <w:sz w:val="18"/>
              </w:rPr>
              <w:t>In scope</w:t>
            </w:r>
          </w:p>
        </w:tc>
        <w:tc>
          <w:tcPr>
            <w:tcW w:type="dxa" w:w="4680"/>
            <w:shd w:fill="E8EEF5"/>
            <w:vAlign w:val="center"/>
            <w:tcMar>
              <w:top w:w="80" w:type="dxa"/>
              <w:start w:w="120" w:type="dxa"/>
              <w:bottom w:w="80" w:type="dxa"/>
              <w:end w:w="120" w:type="dxa"/>
            </w:tcMar>
          </w:tcPr>
          <w:p>
            <w:r>
              <w:rPr>
                <w:b/>
                <w:color w:val="17365D"/>
                <w:sz w:val="18"/>
              </w:rPr>
              <w:t>Out of scope</w:t>
            </w:r>
          </w:p>
        </w:tc>
      </w:tr>
      <w:tr>
        <w:trPr>
          <w:cantSplit/>
        </w:trPr>
        <w:tc>
          <w:tcPr>
            <w:tcW w:type="dxa" w:w="4680"/>
            <w:vAlign w:val="top"/>
            <w:tcMar>
              <w:top w:w="80" w:type="dxa"/>
              <w:start w:w="120" w:type="dxa"/>
              <w:bottom w:w="80" w:type="dxa"/>
              <w:end w:w="120" w:type="dxa"/>
            </w:tcMar>
          </w:tcPr>
          <w:p>
            <w:pPr>
              <w:spacing w:after="0"/>
            </w:pPr>
            <w:r>
              <w:rPr>
                <w:sz w:val="18"/>
              </w:rPr>
              <w:t>A single representative European road-freight sourcing event</w:t>
            </w:r>
          </w:p>
        </w:tc>
        <w:tc>
          <w:tcPr>
            <w:tcW w:type="dxa" w:w="4680"/>
            <w:vAlign w:val="top"/>
            <w:tcMar>
              <w:top w:w="80" w:type="dxa"/>
              <w:start w:w="120" w:type="dxa"/>
              <w:bottom w:w="80" w:type="dxa"/>
              <w:end w:w="120" w:type="dxa"/>
            </w:tcMar>
          </w:tcPr>
          <w:p>
            <w:pPr>
              <w:spacing w:after="0"/>
            </w:pPr>
            <w:r>
              <w:rPr>
                <w:sz w:val="18"/>
              </w:rPr>
              <w:t>Production deployment, live tender issuance or operational use</w:t>
            </w:r>
          </w:p>
        </w:tc>
      </w:tr>
      <w:tr>
        <w:trPr>
          <w:cantSplit/>
        </w:trPr>
        <w:tc>
          <w:tcPr>
            <w:tcW w:type="dxa" w:w="4680"/>
            <w:vAlign w:val="top"/>
            <w:tcMar>
              <w:top w:w="80" w:type="dxa"/>
              <w:start w:w="120" w:type="dxa"/>
              <w:bottom w:w="80" w:type="dxa"/>
              <w:end w:w="120" w:type="dxa"/>
            </w:tcMar>
          </w:tcPr>
          <w:p>
            <w:pPr>
              <w:spacing w:after="0"/>
            </w:pPr>
            <w:r>
              <w:rPr>
                <w:sz w:val="18"/>
              </w:rPr>
              <w:t>Representative lanes, forecast volumes, service requirements and contract terms</w:t>
            </w:r>
          </w:p>
        </w:tc>
        <w:tc>
          <w:tcPr>
            <w:tcW w:type="dxa" w:w="4680"/>
            <w:vAlign w:val="top"/>
            <w:tcMar>
              <w:top w:w="80" w:type="dxa"/>
              <w:start w:w="120" w:type="dxa"/>
              <w:bottom w:w="80" w:type="dxa"/>
              <w:end w:w="120" w:type="dxa"/>
            </w:tcMar>
          </w:tcPr>
          <w:p>
            <w:pPr>
              <w:spacing w:after="0"/>
            </w:pPr>
            <w:r>
              <w:rPr>
                <w:sz w:val="18"/>
              </w:rPr>
              <w:t>Full global logistics network or every logistics-service category</w:t>
            </w:r>
          </w:p>
        </w:tc>
      </w:tr>
      <w:tr>
        <w:trPr>
          <w:cantSplit/>
        </w:trPr>
        <w:tc>
          <w:tcPr>
            <w:tcW w:type="dxa" w:w="4680"/>
            <w:vAlign w:val="top"/>
            <w:tcMar>
              <w:top w:w="80" w:type="dxa"/>
              <w:start w:w="120" w:type="dxa"/>
              <w:bottom w:w="80" w:type="dxa"/>
              <w:end w:w="120" w:type="dxa"/>
            </w:tcMar>
          </w:tcPr>
          <w:p>
            <w:pPr>
              <w:spacing w:after="0"/>
            </w:pPr>
            <w:r>
              <w:rPr>
                <w:sz w:val="18"/>
              </w:rPr>
              <w:t>Action Centre, Sourcing Workspace, Bid Evaluation, Award/Approval, Vendor 360 and Performance Management</w:t>
            </w:r>
          </w:p>
        </w:tc>
        <w:tc>
          <w:tcPr>
            <w:tcW w:type="dxa" w:w="4680"/>
            <w:vAlign w:val="top"/>
            <w:tcMar>
              <w:top w:w="80" w:type="dxa"/>
              <w:start w:w="120" w:type="dxa"/>
              <w:bottom w:w="80" w:type="dxa"/>
              <w:end w:w="120" w:type="dxa"/>
            </w:tcMar>
          </w:tcPr>
          <w:p>
            <w:pPr>
              <w:spacing w:after="0"/>
            </w:pPr>
            <w:r>
              <w:rPr>
                <w:sz w:val="18"/>
              </w:rPr>
              <w:t>Replacement of ERP, TMS, contract lifecycle management, accounts payable or vendor-master systems</w:t>
            </w:r>
          </w:p>
        </w:tc>
      </w:tr>
      <w:tr>
        <w:trPr>
          <w:cantSplit/>
        </w:trPr>
        <w:tc>
          <w:tcPr>
            <w:tcW w:type="dxa" w:w="4680"/>
            <w:vAlign w:val="top"/>
            <w:tcMar>
              <w:top w:w="80" w:type="dxa"/>
              <w:start w:w="120" w:type="dxa"/>
              <w:bottom w:w="80" w:type="dxa"/>
              <w:end w:w="120" w:type="dxa"/>
            </w:tcMar>
          </w:tcPr>
          <w:p>
            <w:pPr>
              <w:spacing w:after="0"/>
            </w:pPr>
            <w:r>
              <w:rPr>
                <w:sz w:val="18"/>
              </w:rPr>
              <w:t>Incumbent and challenger carriers, including explicit No History handling</w:t>
            </w:r>
          </w:p>
        </w:tc>
        <w:tc>
          <w:tcPr>
            <w:tcW w:type="dxa" w:w="4680"/>
            <w:vAlign w:val="top"/>
            <w:tcMar>
              <w:top w:w="80" w:type="dxa"/>
              <w:start w:w="120" w:type="dxa"/>
              <w:bottom w:w="80" w:type="dxa"/>
              <w:end w:w="120" w:type="dxa"/>
            </w:tcMar>
          </w:tcPr>
          <w:p>
            <w:pPr>
              <w:spacing w:after="0"/>
            </w:pPr>
            <w:r>
              <w:rPr>
                <w:sz w:val="18"/>
              </w:rPr>
              <w:t>Automated supplier award, contract signature, payment or system-of-record updates</w:t>
            </w:r>
          </w:p>
        </w:tc>
      </w:tr>
      <w:tr>
        <w:trPr>
          <w:cantSplit/>
        </w:trPr>
        <w:tc>
          <w:tcPr>
            <w:tcW w:type="dxa" w:w="4680"/>
            <w:vAlign w:val="top"/>
            <w:tcMar>
              <w:top w:w="80" w:type="dxa"/>
              <w:start w:w="120" w:type="dxa"/>
              <w:bottom w:w="80" w:type="dxa"/>
              <w:end w:w="120" w:type="dxa"/>
            </w:tcMar>
          </w:tcPr>
          <w:p>
            <w:pPr>
              <w:spacing w:after="0"/>
            </w:pPr>
            <w:r>
              <w:rPr>
                <w:sz w:val="18"/>
              </w:rPr>
              <w:t>Basic configurable vendor scoring with evidence and lineage</w:t>
            </w:r>
          </w:p>
        </w:tc>
        <w:tc>
          <w:tcPr>
            <w:tcW w:type="dxa" w:w="4680"/>
            <w:vAlign w:val="top"/>
            <w:tcMar>
              <w:top w:w="80" w:type="dxa"/>
              <w:start w:w="120" w:type="dxa"/>
              <w:bottom w:w="80" w:type="dxa"/>
              <w:end w:w="120" w:type="dxa"/>
            </w:tcMar>
          </w:tcPr>
          <w:p>
            <w:pPr>
              <w:spacing w:after="0"/>
            </w:pPr>
            <w:r>
              <w:rPr>
                <w:sz w:val="18"/>
              </w:rPr>
              <w:t>Predictive models requiring statistically validated production data</w:t>
            </w:r>
          </w:p>
        </w:tc>
      </w:tr>
      <w:tr>
        <w:trPr>
          <w:cantSplit/>
        </w:trPr>
        <w:tc>
          <w:tcPr>
            <w:tcW w:type="dxa" w:w="4680"/>
            <w:vAlign w:val="top"/>
            <w:tcMar>
              <w:top w:w="80" w:type="dxa"/>
              <w:start w:w="120" w:type="dxa"/>
              <w:bottom w:w="80" w:type="dxa"/>
              <w:end w:w="120" w:type="dxa"/>
            </w:tcMar>
          </w:tcPr>
          <w:p>
            <w:pPr>
              <w:spacing w:after="0"/>
            </w:pPr>
            <w:r>
              <w:rPr>
                <w:sz w:val="18"/>
              </w:rPr>
              <w:t>Synthetic/static data feeds representing relevant source systems</w:t>
            </w:r>
          </w:p>
        </w:tc>
        <w:tc>
          <w:tcPr>
            <w:tcW w:type="dxa" w:w="4680"/>
            <w:vAlign w:val="top"/>
            <w:tcMar>
              <w:top w:w="80" w:type="dxa"/>
              <w:start w:w="120" w:type="dxa"/>
              <w:bottom w:w="80" w:type="dxa"/>
              <w:end w:w="120" w:type="dxa"/>
            </w:tcMar>
          </w:tcPr>
          <w:p>
            <w:pPr>
              <w:spacing w:after="0"/>
            </w:pPr>
            <w:r>
              <w:rPr>
                <w:sz w:val="18"/>
              </w:rPr>
              <w:t>Live enterprise integrations, identity federation or production security certification</w:t>
            </w:r>
          </w:p>
        </w:tc>
      </w:tr>
      <w:tr>
        <w:trPr>
          <w:cantSplit/>
        </w:trPr>
        <w:tc>
          <w:tcPr>
            <w:tcW w:type="dxa" w:w="4680"/>
            <w:vAlign w:val="top"/>
            <w:tcMar>
              <w:top w:w="80" w:type="dxa"/>
              <w:start w:w="120" w:type="dxa"/>
              <w:bottom w:w="80" w:type="dxa"/>
              <w:end w:w="120" w:type="dxa"/>
            </w:tcMar>
          </w:tcPr>
          <w:p>
            <w:pPr>
              <w:spacing w:after="0"/>
            </w:pPr>
            <w:r>
              <w:rPr>
                <w:sz w:val="18"/>
              </w:rPr>
              <w:t>Historical or scenario-based post-award performance monitoring</w:t>
            </w:r>
          </w:p>
        </w:tc>
        <w:tc>
          <w:tcPr>
            <w:tcW w:type="dxa" w:w="4680"/>
            <w:vAlign w:val="top"/>
            <w:tcMar>
              <w:top w:w="80" w:type="dxa"/>
              <w:start w:w="120" w:type="dxa"/>
              <w:bottom w:w="80" w:type="dxa"/>
              <w:end w:w="120" w:type="dxa"/>
            </w:tcMar>
          </w:tcPr>
          <w:p>
            <w:pPr>
              <w:spacing w:after="0"/>
            </w:pPr>
            <w:r>
              <w:rPr>
                <w:sz w:val="18"/>
              </w:rPr>
              <w:t>Autonomous corrective action or supplier communication</w:t>
            </w:r>
          </w:p>
        </w:tc>
      </w:tr>
      <w:tr>
        <w:trPr>
          <w:cantSplit/>
          <w:cantSplit/>
        </w:trPr>
        <w:tc>
          <w:tcPr>
            <w:tcW w:type="dxa" w:w="4680"/>
            <w:vAlign w:val="top"/>
            <w:tcMar>
              <w:top w:w="80" w:type="dxa"/>
              <w:start w:w="120" w:type="dxa"/>
              <w:bottom w:w="80" w:type="dxa"/>
              <w:end w:w="120" w:type="dxa"/>
            </w:tcMar>
          </w:tcPr>
          <w:p>
            <w:pPr/>
            <w:r>
              <w:rPr>
                <w:sz w:val="18"/>
              </w:rPr>
              <w:t>Stateful user progression with controlled release of staged synthetic evidence</w:t>
            </w:r>
          </w:p>
        </w:tc>
        <w:tc>
          <w:tcPr>
            <w:tcW w:type="dxa" w:w="4680"/>
            <w:vAlign w:val="top"/>
            <w:tcMar>
              <w:top w:w="80" w:type="dxa"/>
              <w:start w:w="120" w:type="dxa"/>
              <w:bottom w:w="80" w:type="dxa"/>
              <w:end w:w="120" w:type="dxa"/>
            </w:tcMar>
          </w:tcPr>
          <w:p>
            <w:pPr/>
            <w:r>
              <w:rPr>
                <w:sz w:val="18"/>
              </w:rPr>
              <w:t>A pre-populated end-state showcase in which all decisions and outcomes are already complete</w:t>
            </w:r>
          </w:p>
        </w:tc>
      </w:tr>
      <w:tr>
        <w:trPr>
          <w:cantSplit/>
          <w:cantSplit/>
        </w:trPr>
        <w:tc>
          <w:tcPr>
            <w:tcW w:type="dxa" w:w="4680"/>
            <w:vAlign w:val="top"/>
            <w:tcMar>
              <w:top w:w="80" w:type="dxa"/>
              <w:start w:w="120" w:type="dxa"/>
              <w:bottom w:w="80" w:type="dxa"/>
              <w:end w:w="120" w:type="dxa"/>
            </w:tcMar>
          </w:tcPr>
          <w:p>
            <w:pPr/>
            <w:r>
              <w:rPr>
                <w:sz w:val="18"/>
              </w:rPr>
              <w:t>British English and German user experience, generated documents, supplier communications and source-language processing</w:t>
            </w:r>
          </w:p>
        </w:tc>
        <w:tc>
          <w:tcPr>
            <w:tcW w:type="dxa" w:w="4680"/>
            <w:vAlign w:val="top"/>
            <w:tcMar>
              <w:top w:w="80" w:type="dxa"/>
              <w:start w:w="120" w:type="dxa"/>
              <w:bottom w:w="80" w:type="dxa"/>
              <w:end w:w="120" w:type="dxa"/>
            </w:tcMar>
          </w:tcPr>
          <w:p>
            <w:pPr/>
            <w:r>
              <w:rPr>
                <w:sz w:val="18"/>
              </w:rPr>
              <w:t>Unreviewed machine translation presented as authoritative evidence or a production-grade translation-management service</w:t>
            </w:r>
          </w:p>
        </w:tc>
      </w:tr>
    </w:tbl>
    <w:p>
      <w:pPr>
        <w:spacing w:after="0"/>
      </w:pPr>
    </w:p>
    <w:p>
      <w:r>
        <w:t>Email scope clarification: the prototype includes a dedicated synthetic Gmail demonstration inbox, inbound filtering and governed outgoing drafts/sends; connection to a production employee mailbox is excluded.</w:t>
      </w:r>
    </w:p>
    <w:p>
      <w:pPr>
        <w:pStyle w:val="Heading1"/>
      </w:pPr>
      <w:r>
        <w:t>5. Users and Stakeholders</w:t>
      </w:r>
    </w:p>
    <w:tbl>
      <w:tblPr>
        <w:tblStyle w:val="TableGrid"/>
        <w:tblW w:type="dxa" w:w="9360"/>
        <w:jc w:val="left"/>
        <w:tblLayout w:type="fixed"/>
        <w:tblLook w:firstColumn="1" w:firstRow="1" w:lastColumn="0" w:lastRow="0" w:noHBand="0" w:noVBand="1" w:val="04A0"/>
        <w:tblInd w:w="120" w:type="dxa"/>
      </w:tblPr>
      <w:tblGrid>
        <w:gridCol w:w="2500"/>
        <w:gridCol w:w="6860"/>
      </w:tblGrid>
      <w:tr>
        <w:trPr>
          <w:tblHeader w:val="true"/>
        </w:trPr>
        <w:tc>
          <w:tcPr>
            <w:tcW w:type="dxa" w:w="2500"/>
            <w:shd w:fill="E8EEF5"/>
            <w:vAlign w:val="center"/>
            <w:tcMar>
              <w:top w:w="80" w:type="dxa"/>
              <w:start w:w="120" w:type="dxa"/>
              <w:bottom w:w="80" w:type="dxa"/>
              <w:end w:w="120" w:type="dxa"/>
            </w:tcMar>
          </w:tcPr>
          <w:p>
            <w:r>
              <w:rPr>
                <w:b/>
                <w:color w:val="17365D"/>
                <w:sz w:val="18"/>
              </w:rPr>
              <w:t>Role</w:t>
            </w:r>
          </w:p>
        </w:tc>
        <w:tc>
          <w:tcPr>
            <w:tcW w:type="dxa" w:w="6860"/>
            <w:shd w:fill="E8EEF5"/>
            <w:vAlign w:val="center"/>
            <w:tcMar>
              <w:top w:w="80" w:type="dxa"/>
              <w:start w:w="120" w:type="dxa"/>
              <w:bottom w:w="80" w:type="dxa"/>
              <w:end w:w="120" w:type="dxa"/>
            </w:tcMar>
          </w:tcPr>
          <w:p>
            <w:r>
              <w:rPr>
                <w:b/>
                <w:color w:val="17365D"/>
                <w:sz w:val="18"/>
              </w:rPr>
              <w:t>Primary needs in the prototype</w:t>
            </w:r>
          </w:p>
        </w:tc>
      </w:tr>
      <w:tr>
        <w:trPr>
          <w:cantSplit/>
        </w:trPr>
        <w:tc>
          <w:tcPr>
            <w:tcW w:type="dxa" w:w="2500"/>
            <w:vAlign w:val="top"/>
            <w:tcMar>
              <w:top w:w="80" w:type="dxa"/>
              <w:start w:w="120" w:type="dxa"/>
              <w:bottom w:w="80" w:type="dxa"/>
              <w:end w:w="120" w:type="dxa"/>
            </w:tcMar>
          </w:tcPr>
          <w:p>
            <w:pPr>
              <w:spacing w:after="0"/>
            </w:pPr>
            <w:r>
              <w:rPr>
                <w:sz w:val="18"/>
              </w:rPr>
              <w:t>Procurement / Category Manager</w:t>
            </w:r>
          </w:p>
        </w:tc>
        <w:tc>
          <w:tcPr>
            <w:tcW w:type="dxa" w:w="6860"/>
            <w:vAlign w:val="top"/>
            <w:tcMar>
              <w:top w:w="80" w:type="dxa"/>
              <w:start w:w="120" w:type="dxa"/>
              <w:bottom w:w="80" w:type="dxa"/>
              <w:end w:w="120" w:type="dxa"/>
            </w:tcMar>
          </w:tcPr>
          <w:p>
            <w:pPr>
              <w:spacing w:after="0"/>
            </w:pPr>
            <w:r>
              <w:rPr>
                <w:sz w:val="18"/>
              </w:rPr>
              <w:t>Create and govern sourcing events; compare offers; understand vendor history; form and route a recommendation.</w:t>
            </w:r>
          </w:p>
        </w:tc>
      </w:tr>
      <w:tr>
        <w:trPr>
          <w:cantSplit/>
        </w:trPr>
        <w:tc>
          <w:tcPr>
            <w:tcW w:type="dxa" w:w="2500"/>
            <w:vAlign w:val="top"/>
            <w:tcMar>
              <w:top w:w="80" w:type="dxa"/>
              <w:start w:w="120" w:type="dxa"/>
              <w:bottom w:w="80" w:type="dxa"/>
              <w:end w:w="120" w:type="dxa"/>
            </w:tcMar>
          </w:tcPr>
          <w:p>
            <w:pPr>
              <w:spacing w:after="0"/>
            </w:pPr>
            <w:r>
              <w:rPr>
                <w:sz w:val="18"/>
              </w:rPr>
              <w:t>Logistics / Transportation Operations</w:t>
            </w:r>
          </w:p>
        </w:tc>
        <w:tc>
          <w:tcPr>
            <w:tcW w:type="dxa" w:w="6860"/>
            <w:vAlign w:val="top"/>
            <w:tcMar>
              <w:top w:w="80" w:type="dxa"/>
              <w:start w:w="120" w:type="dxa"/>
              <w:bottom w:w="80" w:type="dxa"/>
              <w:end w:w="120" w:type="dxa"/>
            </w:tcMar>
          </w:tcPr>
          <w:p>
            <w:pPr>
              <w:spacing w:after="0"/>
            </w:pPr>
            <w:r>
              <w:rPr>
                <w:sz w:val="18"/>
              </w:rPr>
              <w:t>Define operational requirements; validate service feasibility; review lane and KPI performance.</w:t>
            </w:r>
          </w:p>
        </w:tc>
      </w:tr>
      <w:tr>
        <w:trPr>
          <w:cantSplit/>
        </w:trPr>
        <w:tc>
          <w:tcPr>
            <w:tcW w:type="dxa" w:w="2500"/>
            <w:vAlign w:val="top"/>
            <w:tcMar>
              <w:top w:w="80" w:type="dxa"/>
              <w:start w:w="120" w:type="dxa"/>
              <w:bottom w:w="80" w:type="dxa"/>
              <w:end w:w="120" w:type="dxa"/>
            </w:tcMar>
          </w:tcPr>
          <w:p>
            <w:pPr>
              <w:spacing w:after="0"/>
            </w:pPr>
            <w:r>
              <w:rPr>
                <w:sz w:val="18"/>
              </w:rPr>
              <w:t>Supplier / Carrier Manager</w:t>
            </w:r>
          </w:p>
        </w:tc>
        <w:tc>
          <w:tcPr>
            <w:tcW w:type="dxa" w:w="6860"/>
            <w:vAlign w:val="top"/>
            <w:tcMar>
              <w:top w:w="80" w:type="dxa"/>
              <w:start w:w="120" w:type="dxa"/>
              <w:bottom w:w="80" w:type="dxa"/>
              <w:end w:w="120" w:type="dxa"/>
            </w:tcMar>
          </w:tcPr>
          <w:p>
            <w:pPr>
              <w:spacing w:after="0"/>
            </w:pPr>
            <w:r>
              <w:rPr>
                <w:sz w:val="18"/>
              </w:rPr>
              <w:t>Understand vendor relationship, score drivers, trends, incidents and corrective actions.</w:t>
            </w:r>
          </w:p>
        </w:tc>
      </w:tr>
      <w:tr>
        <w:trPr>
          <w:cantSplit/>
        </w:trPr>
        <w:tc>
          <w:tcPr>
            <w:tcW w:type="dxa" w:w="2500"/>
            <w:vAlign w:val="top"/>
            <w:tcMar>
              <w:top w:w="80" w:type="dxa"/>
              <w:start w:w="120" w:type="dxa"/>
              <w:bottom w:w="80" w:type="dxa"/>
              <w:end w:w="120" w:type="dxa"/>
            </w:tcMar>
          </w:tcPr>
          <w:p>
            <w:pPr>
              <w:spacing w:after="0"/>
            </w:pPr>
            <w:r>
              <w:rPr>
                <w:sz w:val="18"/>
              </w:rPr>
              <w:t>Approver / Finance</w:t>
            </w:r>
          </w:p>
        </w:tc>
        <w:tc>
          <w:tcPr>
            <w:tcW w:type="dxa" w:w="6860"/>
            <w:vAlign w:val="top"/>
            <w:tcMar>
              <w:top w:w="80" w:type="dxa"/>
              <w:start w:w="120" w:type="dxa"/>
              <w:bottom w:w="80" w:type="dxa"/>
              <w:end w:w="120" w:type="dxa"/>
            </w:tcMar>
          </w:tcPr>
          <w:p>
            <w:pPr>
              <w:spacing w:after="0"/>
            </w:pPr>
            <w:r>
              <w:rPr>
                <w:sz w:val="18"/>
              </w:rPr>
              <w:t>Review recommendation, value, trade-offs, risks, evidence and approval history.</w:t>
            </w:r>
          </w:p>
        </w:tc>
      </w:tr>
      <w:tr>
        <w:trPr>
          <w:cantSplit/>
        </w:trPr>
        <w:tc>
          <w:tcPr>
            <w:tcW w:type="dxa" w:w="2500"/>
            <w:vAlign w:val="top"/>
            <w:tcMar>
              <w:top w:w="80" w:type="dxa"/>
              <w:start w:w="120" w:type="dxa"/>
              <w:bottom w:w="80" w:type="dxa"/>
              <w:end w:w="120" w:type="dxa"/>
            </w:tcMar>
          </w:tcPr>
          <w:p>
            <w:pPr>
              <w:spacing w:after="0"/>
            </w:pPr>
            <w:r>
              <w:rPr>
                <w:sz w:val="18"/>
              </w:rPr>
              <w:t>Legal / Compliance / Sustainability</w:t>
            </w:r>
          </w:p>
        </w:tc>
        <w:tc>
          <w:tcPr>
            <w:tcW w:type="dxa" w:w="6860"/>
            <w:vAlign w:val="top"/>
            <w:tcMar>
              <w:top w:w="80" w:type="dxa"/>
              <w:start w:w="120" w:type="dxa"/>
              <w:bottom w:w="80" w:type="dxa"/>
              <w:end w:w="120" w:type="dxa"/>
            </w:tcMar>
          </w:tcPr>
          <w:p>
            <w:pPr>
              <w:spacing w:after="0"/>
            </w:pPr>
            <w:r>
              <w:rPr>
                <w:sz w:val="18"/>
              </w:rPr>
              <w:t>Review mandatory terms and qualification requirements where applicable.</w:t>
            </w:r>
          </w:p>
        </w:tc>
      </w:tr>
      <w:tr>
        <w:trPr>
          <w:cantSplit/>
        </w:trPr>
        <w:tc>
          <w:tcPr>
            <w:tcW w:type="dxa" w:w="2500"/>
            <w:vAlign w:val="top"/>
            <w:tcMar>
              <w:top w:w="80" w:type="dxa"/>
              <w:start w:w="120" w:type="dxa"/>
              <w:bottom w:w="80" w:type="dxa"/>
              <w:end w:w="120" w:type="dxa"/>
            </w:tcMar>
          </w:tcPr>
          <w:p>
            <w:pPr>
              <w:spacing w:after="0"/>
            </w:pPr>
            <w:r>
              <w:rPr>
                <w:sz w:val="18"/>
              </w:rPr>
              <w:t>Data / IT</w:t>
            </w:r>
          </w:p>
        </w:tc>
        <w:tc>
          <w:tcPr>
            <w:tcW w:type="dxa" w:w="6860"/>
            <w:vAlign w:val="top"/>
            <w:tcMar>
              <w:top w:w="80" w:type="dxa"/>
              <w:start w:w="120" w:type="dxa"/>
              <w:bottom w:w="80" w:type="dxa"/>
              <w:end w:w="120" w:type="dxa"/>
            </w:tcMar>
          </w:tcPr>
          <w:p>
            <w:pPr>
              <w:spacing w:after="0"/>
            </w:pPr>
            <w:r>
              <w:rPr>
                <w:sz w:val="18"/>
              </w:rPr>
              <w:t>Understand source data, lineage, security boundaries and future integration needs.</w:t>
            </w:r>
          </w:p>
        </w:tc>
      </w:tr>
      <w:tr>
        <w:trPr>
          <w:cantSplit/>
        </w:trPr>
        <w:tc>
          <w:tcPr>
            <w:tcW w:type="dxa" w:w="2500"/>
            <w:vAlign w:val="top"/>
            <w:tcMar>
              <w:top w:w="80" w:type="dxa"/>
              <w:start w:w="120" w:type="dxa"/>
              <w:bottom w:w="80" w:type="dxa"/>
              <w:end w:w="120" w:type="dxa"/>
            </w:tcMar>
          </w:tcPr>
          <w:p>
            <w:pPr>
              <w:spacing w:after="0"/>
            </w:pPr>
            <w:r>
              <w:rPr>
                <w:sz w:val="18"/>
              </w:rPr>
              <w:t>Executive Sponsor</w:t>
            </w:r>
          </w:p>
        </w:tc>
        <w:tc>
          <w:tcPr>
            <w:tcW w:type="dxa" w:w="6860"/>
            <w:vAlign w:val="top"/>
            <w:tcMar>
              <w:top w:w="80" w:type="dxa"/>
              <w:start w:w="120" w:type="dxa"/>
              <w:bottom w:w="80" w:type="dxa"/>
              <w:end w:w="120" w:type="dxa"/>
            </w:tcMar>
          </w:tcPr>
          <w:p>
            <w:pPr>
              <w:spacing w:after="0"/>
            </w:pPr>
            <w:r>
              <w:rPr>
                <w:sz w:val="18"/>
              </w:rPr>
              <w:t>See material sourcing and vendor-performance actions, risks and expected business impact.</w:t>
            </w:r>
          </w:p>
        </w:tc>
      </w:tr>
    </w:tbl>
    <w:p>
      <w:pPr>
        <w:spacing w:after="0"/>
      </w:pPr>
    </w:p>
    <w:p>
      <w:pPr>
        <w:pStyle w:val="Heading1"/>
      </w:pPr>
      <w:r>
        <w:t>6. Target Business Process</w:t>
      </w:r>
    </w:p>
    <w:p>
      <w:pPr>
        <w:pStyle w:val="ListNumber"/>
      </w:pPr>
      <w:r>
        <w:t>Understand: surface a contract expiry, fragmented spend, supplier-performance issue or user-raised sourcing need.</w:t>
      </w:r>
    </w:p>
    <w:p>
      <w:pPr>
        <w:pStyle w:val="ListNumber"/>
      </w:pPr>
      <w:r>
        <w:t>Validate: confirm that the sourcing event is necessary, appropriately scoped and compliant with policy.</w:t>
      </w:r>
    </w:p>
    <w:p>
      <w:pPr>
        <w:pStyle w:val="ListNumber"/>
      </w:pPr>
      <w:r>
        <w:t>Specify: turn lanes, forecast volumes, service requirements, SLAs, pricing structures and contractual requirements into a governed RFP/ITT package.</w:t>
      </w:r>
    </w:p>
    <w:p>
      <w:pPr>
        <w:pStyle w:val="ListNumber"/>
      </w:pPr>
      <w:r>
        <w:t>Source: manage invited carriers, clarifications, submissions and completeness.</w:t>
      </w:r>
    </w:p>
    <w:p>
      <w:pPr>
        <w:pStyle w:val="ListNumber"/>
      </w:pPr>
      <w:r>
        <w:t>Evaluate: apply qualification gates, normalise prices and services, calculate approved weighted scores, incorporate applicable vendor history and explain trade-offs.</w:t>
      </w:r>
    </w:p>
    <w:p>
      <w:pPr>
        <w:pStyle w:val="ListNumber"/>
      </w:pPr>
      <w:r>
        <w:t>Award: produce a recommendation, route approval and preserve the decision rationale and human authorisation.</w:t>
      </w:r>
    </w:p>
    <w:p>
      <w:pPr>
        <w:pStyle w:val="ListNumber"/>
      </w:pPr>
      <w:r>
        <w:t>Baseline: convert the winning commitments and contract requirements into performance obligations.</w:t>
      </w:r>
    </w:p>
    <w:p>
      <w:pPr>
        <w:pStyle w:val="ListNumber"/>
      </w:pPr>
      <w:r>
        <w:t>Monitor: compare actual execution, invoices and incidents with the baseline; update scores and identify trends.</w:t>
      </w:r>
    </w:p>
    <w:p>
      <w:pPr>
        <w:pStyle w:val="ListNumber"/>
      </w:pPr>
      <w:r>
        <w:t>Act: recommend reviews, corrective actions, credits, allocation changes, renewal or competitive re-tendering.</w:t>
      </w:r>
    </w:p>
    <w:p>
      <w:pPr>
        <w:pStyle w:val="ListNumber"/>
      </w:pPr>
      <w:r>
        <w:t>Learn: retain verified evidence and use it in the vendor profile and the next sourcing decision.</w:t>
      </w:r>
    </w:p>
    <w:p>
      <w:pPr>
        <w:pStyle w:val="Heading1"/>
      </w:pPr>
      <w:r>
        <w:t>7. Functional Requirements</w:t>
      </w:r>
    </w:p>
    <w:tbl>
      <w:tblPr>
        <w:tblStyle w:val="TableGrid"/>
        <w:tblW w:type="dxa" w:w="9360"/>
        <w:jc w:val="left"/>
        <w:tblLayout w:type="fixed"/>
        <w:tblLook w:firstColumn="1" w:firstRow="1" w:lastColumn="0" w:lastRow="0" w:noHBand="0" w:noVBand="1" w:val="04A0"/>
        <w:tblInd w:w="120" w:type="dxa"/>
      </w:tblPr>
      <w:tblGrid>
        <w:gridCol w:w="850"/>
        <w:gridCol w:w="1650"/>
        <w:gridCol w:w="6060"/>
        <w:gridCol w:w="800"/>
      </w:tblGrid>
      <w:tr>
        <w:trPr>
          <w:tblHeader w:val="true"/>
        </w:trPr>
        <w:tc>
          <w:tcPr>
            <w:tcW w:type="dxa" w:w="850"/>
            <w:shd w:fill="E8EEF5"/>
            <w:vAlign w:val="center"/>
            <w:tcMar>
              <w:top w:w="80" w:type="dxa"/>
              <w:start w:w="120" w:type="dxa"/>
              <w:bottom w:w="80" w:type="dxa"/>
              <w:end w:w="120" w:type="dxa"/>
            </w:tcMar>
          </w:tcPr>
          <w:p>
            <w:r>
              <w:rPr>
                <w:b/>
                <w:color w:val="17365D"/>
                <w:sz w:val="16"/>
              </w:rPr>
              <w:t>ID</w:t>
            </w:r>
          </w:p>
        </w:tc>
        <w:tc>
          <w:tcPr>
            <w:tcW w:type="dxa" w:w="1650"/>
            <w:shd w:fill="E8EEF5"/>
            <w:vAlign w:val="center"/>
            <w:tcMar>
              <w:top w:w="80" w:type="dxa"/>
              <w:start w:w="120" w:type="dxa"/>
              <w:bottom w:w="80" w:type="dxa"/>
              <w:end w:w="120" w:type="dxa"/>
            </w:tcMar>
          </w:tcPr>
          <w:p>
            <w:r>
              <w:rPr>
                <w:b/>
                <w:color w:val="17365D"/>
                <w:sz w:val="16"/>
              </w:rPr>
              <w:t>Capability</w:t>
            </w:r>
          </w:p>
        </w:tc>
        <w:tc>
          <w:tcPr>
            <w:tcW w:type="dxa" w:w="6060"/>
            <w:shd w:fill="E8EEF5"/>
            <w:vAlign w:val="center"/>
            <w:tcMar>
              <w:top w:w="80" w:type="dxa"/>
              <w:start w:w="120" w:type="dxa"/>
              <w:bottom w:w="80" w:type="dxa"/>
              <w:end w:w="120" w:type="dxa"/>
            </w:tcMar>
          </w:tcPr>
          <w:p>
            <w:r>
              <w:rPr>
                <w:b/>
                <w:color w:val="17365D"/>
                <w:sz w:val="16"/>
              </w:rPr>
              <w:t>Requirement</w:t>
            </w:r>
          </w:p>
        </w:tc>
        <w:tc>
          <w:tcPr>
            <w:tcW w:type="dxa" w:w="800"/>
            <w:shd w:fill="E8EEF5"/>
            <w:vAlign w:val="center"/>
            <w:tcMar>
              <w:top w:w="80" w:type="dxa"/>
              <w:start w:w="120" w:type="dxa"/>
              <w:bottom w:w="80" w:type="dxa"/>
              <w:end w:w="120" w:type="dxa"/>
            </w:tcMar>
          </w:tcPr>
          <w:p>
            <w:r>
              <w:rPr>
                <w:b/>
                <w:color w:val="17365D"/>
                <w:sz w:val="16"/>
              </w:rPr>
              <w:t>Priority</w:t>
            </w:r>
          </w:p>
        </w:tc>
      </w:tr>
      <w:tr>
        <w:trPr>
          <w:cantSplit/>
        </w:trPr>
        <w:tc>
          <w:tcPr>
            <w:tcW w:type="dxa" w:w="850"/>
            <w:vAlign w:val="top"/>
            <w:tcMar>
              <w:top w:w="80" w:type="dxa"/>
              <w:start w:w="120" w:type="dxa"/>
              <w:bottom w:w="80" w:type="dxa"/>
              <w:end w:w="120" w:type="dxa"/>
            </w:tcMar>
          </w:tcPr>
          <w:p>
            <w:pPr>
              <w:spacing w:after="0"/>
            </w:pPr>
            <w:r>
              <w:rPr>
                <w:sz w:val="16"/>
              </w:rPr>
              <w:t>FR-01</w:t>
            </w:r>
          </w:p>
        </w:tc>
        <w:tc>
          <w:tcPr>
            <w:tcW w:type="dxa" w:w="1650"/>
            <w:vAlign w:val="top"/>
            <w:tcMar>
              <w:top w:w="80" w:type="dxa"/>
              <w:start w:w="120" w:type="dxa"/>
              <w:bottom w:w="80" w:type="dxa"/>
              <w:end w:w="120" w:type="dxa"/>
            </w:tcMar>
          </w:tcPr>
          <w:p>
            <w:pPr>
              <w:spacing w:after="0"/>
            </w:pPr>
            <w:r>
              <w:rPr>
                <w:sz w:val="16"/>
              </w:rPr>
              <w:t>Action Centre</w:t>
            </w:r>
          </w:p>
        </w:tc>
        <w:tc>
          <w:tcPr>
            <w:tcW w:type="dxa" w:w="6060"/>
            <w:vAlign w:val="top"/>
            <w:tcMar>
              <w:top w:w="80" w:type="dxa"/>
              <w:start w:w="120" w:type="dxa"/>
              <w:bottom w:w="80" w:type="dxa"/>
              <w:end w:w="120" w:type="dxa"/>
            </w:tcMar>
          </w:tcPr>
          <w:p>
            <w:pPr>
              <w:spacing w:after="0"/>
            </w:pPr>
            <w:r>
              <w:rPr>
                <w:sz w:val="16"/>
              </w:rPr>
              <w:t>Display prioritised pre-award and post-award actions with owner, due date, status, rationale, evidence and potential impact.</w:t>
            </w:r>
          </w:p>
        </w:tc>
        <w:tc>
          <w:tcPr>
            <w:tcW w:type="dxa" w:w="800"/>
            <w:vAlign w:val="top"/>
            <w:tcMar>
              <w:top w:w="80" w:type="dxa"/>
              <w:start w:w="120" w:type="dxa"/>
              <w:bottom w:w="80" w:type="dxa"/>
              <w:end w:w="120" w:type="dxa"/>
            </w:tcMar>
          </w:tcPr>
          <w:p>
            <w:pPr>
              <w:spacing w:after="0"/>
            </w:pPr>
            <w:r>
              <w:rPr>
                <w:sz w:val="16"/>
              </w:rPr>
              <w:t>Must</w:t>
            </w:r>
          </w:p>
        </w:tc>
      </w:tr>
      <w:tr>
        <w:trPr>
          <w:cantSplit/>
        </w:trPr>
        <w:tc>
          <w:tcPr>
            <w:tcW w:type="dxa" w:w="850"/>
            <w:vAlign w:val="top"/>
            <w:tcMar>
              <w:top w:w="80" w:type="dxa"/>
              <w:start w:w="120" w:type="dxa"/>
              <w:bottom w:w="80" w:type="dxa"/>
              <w:end w:w="120" w:type="dxa"/>
            </w:tcMar>
          </w:tcPr>
          <w:p>
            <w:pPr>
              <w:spacing w:after="0"/>
            </w:pPr>
            <w:r>
              <w:rPr>
                <w:sz w:val="16"/>
              </w:rPr>
              <w:t>FR-02</w:t>
            </w:r>
          </w:p>
        </w:tc>
        <w:tc>
          <w:tcPr>
            <w:tcW w:type="dxa" w:w="1650"/>
            <w:vAlign w:val="top"/>
            <w:tcMar>
              <w:top w:w="80" w:type="dxa"/>
              <w:start w:w="120" w:type="dxa"/>
              <w:bottom w:w="80" w:type="dxa"/>
              <w:end w:w="120" w:type="dxa"/>
            </w:tcMar>
          </w:tcPr>
          <w:p>
            <w:pPr>
              <w:spacing w:after="0"/>
            </w:pPr>
            <w:r>
              <w:rPr>
                <w:sz w:val="16"/>
              </w:rPr>
              <w:t>Opportunity detection</w:t>
            </w:r>
          </w:p>
        </w:tc>
        <w:tc>
          <w:tcPr>
            <w:tcW w:type="dxa" w:w="6060"/>
            <w:vAlign w:val="top"/>
            <w:tcMar>
              <w:top w:w="80" w:type="dxa"/>
              <w:start w:w="120" w:type="dxa"/>
              <w:bottom w:w="80" w:type="dxa"/>
              <w:end w:w="120" w:type="dxa"/>
            </w:tcMar>
          </w:tcPr>
          <w:p>
            <w:pPr>
              <w:spacing w:after="0"/>
            </w:pPr>
            <w:r>
              <w:rPr>
                <w:sz w:val="16"/>
              </w:rPr>
              <w:t>Create or simulate actions from contract expiry, performance deterioration, commercial exception or user-entered need.</w:t>
            </w:r>
          </w:p>
        </w:tc>
        <w:tc>
          <w:tcPr>
            <w:tcW w:type="dxa" w:w="800"/>
            <w:vAlign w:val="top"/>
            <w:tcMar>
              <w:top w:w="80" w:type="dxa"/>
              <w:start w:w="120" w:type="dxa"/>
              <w:bottom w:w="80" w:type="dxa"/>
              <w:end w:w="120" w:type="dxa"/>
            </w:tcMar>
          </w:tcPr>
          <w:p>
            <w:pPr>
              <w:spacing w:after="0"/>
            </w:pPr>
            <w:r>
              <w:rPr>
                <w:sz w:val="16"/>
              </w:rPr>
              <w:t>Must</w:t>
            </w:r>
          </w:p>
        </w:tc>
      </w:tr>
      <w:tr>
        <w:trPr>
          <w:cantSplit/>
        </w:trPr>
        <w:tc>
          <w:tcPr>
            <w:tcW w:type="dxa" w:w="850"/>
            <w:vAlign w:val="top"/>
            <w:tcMar>
              <w:top w:w="80" w:type="dxa"/>
              <w:start w:w="120" w:type="dxa"/>
              <w:bottom w:w="80" w:type="dxa"/>
              <w:end w:w="120" w:type="dxa"/>
            </w:tcMar>
          </w:tcPr>
          <w:p>
            <w:pPr>
              <w:spacing w:after="0"/>
            </w:pPr>
            <w:r>
              <w:rPr>
                <w:sz w:val="16"/>
              </w:rPr>
              <w:t>FR-03</w:t>
            </w:r>
          </w:p>
        </w:tc>
        <w:tc>
          <w:tcPr>
            <w:tcW w:type="dxa" w:w="1650"/>
            <w:vAlign w:val="top"/>
            <w:tcMar>
              <w:top w:w="80" w:type="dxa"/>
              <w:start w:w="120" w:type="dxa"/>
              <w:bottom w:w="80" w:type="dxa"/>
              <w:end w:w="120" w:type="dxa"/>
            </w:tcMar>
          </w:tcPr>
          <w:p>
            <w:pPr>
              <w:spacing w:after="0"/>
            </w:pPr>
            <w:r>
              <w:rPr>
                <w:sz w:val="16"/>
              </w:rPr>
              <w:t>Demand validation</w:t>
            </w:r>
          </w:p>
        </w:tc>
        <w:tc>
          <w:tcPr>
            <w:tcW w:type="dxa" w:w="6060"/>
            <w:vAlign w:val="top"/>
            <w:tcMar>
              <w:top w:w="80" w:type="dxa"/>
              <w:start w:w="120" w:type="dxa"/>
              <w:bottom w:w="80" w:type="dxa"/>
              <w:end w:w="120" w:type="dxa"/>
            </w:tcMar>
          </w:tcPr>
          <w:p>
            <w:pPr>
              <w:spacing w:after="0"/>
            </w:pPr>
            <w:r>
              <w:rPr>
                <w:sz w:val="16"/>
              </w:rPr>
              <w:t>Check existing contract coverage, incumbent arrangements, overlapping demand, policy threshold and aggregation opportunity before sourcing.</w:t>
            </w:r>
          </w:p>
        </w:tc>
        <w:tc>
          <w:tcPr>
            <w:tcW w:type="dxa" w:w="800"/>
            <w:vAlign w:val="top"/>
            <w:tcMar>
              <w:top w:w="80" w:type="dxa"/>
              <w:start w:w="120" w:type="dxa"/>
              <w:bottom w:w="80" w:type="dxa"/>
              <w:end w:w="120" w:type="dxa"/>
            </w:tcMar>
          </w:tcPr>
          <w:p>
            <w:pPr>
              <w:spacing w:after="0"/>
            </w:pPr>
            <w:r>
              <w:rPr>
                <w:sz w:val="16"/>
              </w:rPr>
              <w:t>Should</w:t>
            </w:r>
          </w:p>
        </w:tc>
      </w:tr>
      <w:tr>
        <w:trPr>
          <w:cantSplit/>
        </w:trPr>
        <w:tc>
          <w:tcPr>
            <w:tcW w:type="dxa" w:w="850"/>
            <w:vAlign w:val="top"/>
            <w:tcMar>
              <w:top w:w="80" w:type="dxa"/>
              <w:start w:w="120" w:type="dxa"/>
              <w:bottom w:w="80" w:type="dxa"/>
              <w:end w:w="120" w:type="dxa"/>
            </w:tcMar>
          </w:tcPr>
          <w:p>
            <w:pPr>
              <w:spacing w:after="0"/>
            </w:pPr>
            <w:r>
              <w:rPr>
                <w:sz w:val="16"/>
              </w:rPr>
              <w:t>FR-04</w:t>
            </w:r>
          </w:p>
        </w:tc>
        <w:tc>
          <w:tcPr>
            <w:tcW w:type="dxa" w:w="1650"/>
            <w:vAlign w:val="top"/>
            <w:tcMar>
              <w:top w:w="80" w:type="dxa"/>
              <w:start w:w="120" w:type="dxa"/>
              <w:bottom w:w="80" w:type="dxa"/>
              <w:end w:w="120" w:type="dxa"/>
            </w:tcMar>
          </w:tcPr>
          <w:p>
            <w:pPr>
              <w:spacing w:after="0"/>
            </w:pPr>
            <w:r>
              <w:rPr>
                <w:sz w:val="16"/>
              </w:rPr>
              <w:t>Requirements capture</w:t>
            </w:r>
          </w:p>
        </w:tc>
        <w:tc>
          <w:tcPr>
            <w:tcW w:type="dxa" w:w="6060"/>
            <w:vAlign w:val="top"/>
            <w:tcMar>
              <w:top w:w="80" w:type="dxa"/>
              <w:start w:w="120" w:type="dxa"/>
              <w:bottom w:w="80" w:type="dxa"/>
              <w:end w:w="120" w:type="dxa"/>
            </w:tcMar>
          </w:tcPr>
          <w:p>
            <w:pPr>
              <w:spacing w:after="0"/>
            </w:pPr>
            <w:r>
              <w:rPr>
                <w:sz w:val="16"/>
              </w:rPr>
              <w:t>Capture lanes, origins/destinations, equipment/service type, forecast volumes, seasonality, operating constraints, required capacity, SLAs, KPIs, term and pricing structure.</w:t>
            </w:r>
          </w:p>
        </w:tc>
        <w:tc>
          <w:tcPr>
            <w:tcW w:type="dxa" w:w="800"/>
            <w:vAlign w:val="top"/>
            <w:tcMar>
              <w:top w:w="80" w:type="dxa"/>
              <w:start w:w="120" w:type="dxa"/>
              <w:bottom w:w="80" w:type="dxa"/>
              <w:end w:w="120" w:type="dxa"/>
            </w:tcMar>
          </w:tcPr>
          <w:p>
            <w:pPr>
              <w:spacing w:after="0"/>
            </w:pPr>
            <w:r>
              <w:rPr>
                <w:sz w:val="16"/>
              </w:rPr>
              <w:t>Must</w:t>
            </w:r>
          </w:p>
        </w:tc>
      </w:tr>
      <w:tr>
        <w:trPr>
          <w:cantSplit/>
        </w:trPr>
        <w:tc>
          <w:tcPr>
            <w:tcW w:type="dxa" w:w="850"/>
            <w:vAlign w:val="top"/>
            <w:tcMar>
              <w:top w:w="80" w:type="dxa"/>
              <w:start w:w="120" w:type="dxa"/>
              <w:bottom w:w="80" w:type="dxa"/>
              <w:end w:w="120" w:type="dxa"/>
            </w:tcMar>
          </w:tcPr>
          <w:p>
            <w:pPr>
              <w:spacing w:after="0"/>
            </w:pPr>
            <w:r>
              <w:rPr>
                <w:sz w:val="16"/>
              </w:rPr>
              <w:t>FR-05</w:t>
            </w:r>
          </w:p>
        </w:tc>
        <w:tc>
          <w:tcPr>
            <w:tcW w:type="dxa" w:w="1650"/>
            <w:vAlign w:val="top"/>
            <w:tcMar>
              <w:top w:w="80" w:type="dxa"/>
              <w:start w:w="120" w:type="dxa"/>
              <w:bottom w:w="80" w:type="dxa"/>
              <w:end w:w="120" w:type="dxa"/>
            </w:tcMar>
          </w:tcPr>
          <w:p>
            <w:pPr>
              <w:spacing w:after="0"/>
            </w:pPr>
            <w:r>
              <w:rPr>
                <w:sz w:val="16"/>
              </w:rPr>
              <w:t>AI-assisted specification</w:t>
            </w:r>
          </w:p>
        </w:tc>
        <w:tc>
          <w:tcPr>
            <w:tcW w:type="dxa" w:w="6060"/>
            <w:vAlign w:val="top"/>
            <w:tcMar>
              <w:top w:w="80" w:type="dxa"/>
              <w:start w:w="120" w:type="dxa"/>
              <w:bottom w:w="80" w:type="dxa"/>
              <w:end w:w="120" w:type="dxa"/>
            </w:tcMar>
          </w:tcPr>
          <w:p>
            <w:pPr>
              <w:spacing w:after="0"/>
            </w:pPr>
            <w:r>
              <w:rPr>
                <w:sz w:val="16"/>
              </w:rPr>
              <w:t>Identify missing or ambiguous requirements and draft a sourcing package grounded in approved inputs and source documents.</w:t>
            </w:r>
          </w:p>
        </w:tc>
        <w:tc>
          <w:tcPr>
            <w:tcW w:type="dxa" w:w="800"/>
            <w:vAlign w:val="top"/>
            <w:tcMar>
              <w:top w:w="80" w:type="dxa"/>
              <w:start w:w="120" w:type="dxa"/>
              <w:bottom w:w="80" w:type="dxa"/>
              <w:end w:w="120" w:type="dxa"/>
            </w:tcMar>
          </w:tcPr>
          <w:p>
            <w:pPr>
              <w:spacing w:after="0"/>
            </w:pPr>
            <w:r>
              <w:rPr>
                <w:sz w:val="16"/>
              </w:rPr>
              <w:t>Must</w:t>
            </w:r>
          </w:p>
        </w:tc>
      </w:tr>
      <w:tr>
        <w:trPr>
          <w:cantSplit/>
        </w:trPr>
        <w:tc>
          <w:tcPr>
            <w:tcW w:type="dxa" w:w="850"/>
            <w:vAlign w:val="top"/>
            <w:tcMar>
              <w:top w:w="80" w:type="dxa"/>
              <w:start w:w="120" w:type="dxa"/>
              <w:bottom w:w="80" w:type="dxa"/>
              <w:end w:w="120" w:type="dxa"/>
            </w:tcMar>
          </w:tcPr>
          <w:p>
            <w:pPr>
              <w:spacing w:after="0"/>
            </w:pPr>
            <w:r>
              <w:rPr>
                <w:sz w:val="16"/>
              </w:rPr>
              <w:t>FR-06</w:t>
            </w:r>
          </w:p>
        </w:tc>
        <w:tc>
          <w:tcPr>
            <w:tcW w:type="dxa" w:w="1650"/>
            <w:vAlign w:val="top"/>
            <w:tcMar>
              <w:top w:w="80" w:type="dxa"/>
              <w:start w:w="120" w:type="dxa"/>
              <w:bottom w:w="80" w:type="dxa"/>
              <w:end w:w="120" w:type="dxa"/>
            </w:tcMar>
          </w:tcPr>
          <w:p>
            <w:pPr>
              <w:spacing w:after="0"/>
            </w:pPr>
            <w:r>
              <w:rPr>
                <w:sz w:val="16"/>
              </w:rPr>
              <w:t>Criteria governance</w:t>
            </w:r>
          </w:p>
        </w:tc>
        <w:tc>
          <w:tcPr>
            <w:tcW w:type="dxa" w:w="6060"/>
            <w:vAlign w:val="top"/>
            <w:tcMar>
              <w:top w:w="80" w:type="dxa"/>
              <w:start w:w="120" w:type="dxa"/>
              <w:bottom w:w="80" w:type="dxa"/>
              <w:end w:w="120" w:type="dxa"/>
            </w:tcMar>
          </w:tcPr>
          <w:p>
            <w:pPr>
              <w:spacing w:after="0"/>
            </w:pPr>
            <w:r>
              <w:rPr>
                <w:sz w:val="16"/>
              </w:rPr>
              <w:t>Allow users to select/configure qualification gates, weights and scoring rules and approve/lock them before bids are evaluated.</w:t>
            </w:r>
          </w:p>
        </w:tc>
        <w:tc>
          <w:tcPr>
            <w:tcW w:type="dxa" w:w="800"/>
            <w:vAlign w:val="top"/>
            <w:tcMar>
              <w:top w:w="80" w:type="dxa"/>
              <w:start w:w="120" w:type="dxa"/>
              <w:bottom w:w="80" w:type="dxa"/>
              <w:end w:w="120" w:type="dxa"/>
            </w:tcMar>
          </w:tcPr>
          <w:p>
            <w:pPr>
              <w:spacing w:after="0"/>
            </w:pPr>
            <w:r>
              <w:rPr>
                <w:sz w:val="16"/>
              </w:rPr>
              <w:t>Must</w:t>
            </w:r>
          </w:p>
        </w:tc>
      </w:tr>
      <w:tr>
        <w:trPr>
          <w:cantSplit/>
        </w:trPr>
        <w:tc>
          <w:tcPr>
            <w:tcW w:type="dxa" w:w="850"/>
            <w:vAlign w:val="top"/>
            <w:tcMar>
              <w:top w:w="80" w:type="dxa"/>
              <w:start w:w="120" w:type="dxa"/>
              <w:bottom w:w="80" w:type="dxa"/>
              <w:end w:w="120" w:type="dxa"/>
            </w:tcMar>
          </w:tcPr>
          <w:p>
            <w:pPr>
              <w:spacing w:after="0"/>
            </w:pPr>
            <w:r>
              <w:rPr>
                <w:sz w:val="16"/>
              </w:rPr>
              <w:t>FR-07</w:t>
            </w:r>
          </w:p>
        </w:tc>
        <w:tc>
          <w:tcPr>
            <w:tcW w:type="dxa" w:w="1650"/>
            <w:vAlign w:val="top"/>
            <w:tcMar>
              <w:top w:w="80" w:type="dxa"/>
              <w:start w:w="120" w:type="dxa"/>
              <w:bottom w:w="80" w:type="dxa"/>
              <w:end w:w="120" w:type="dxa"/>
            </w:tcMar>
          </w:tcPr>
          <w:p>
            <w:pPr>
              <w:spacing w:after="0"/>
            </w:pPr>
            <w:r>
              <w:rPr>
                <w:sz w:val="16"/>
              </w:rPr>
              <w:t>Supplier participation</w:t>
            </w:r>
          </w:p>
        </w:tc>
        <w:tc>
          <w:tcPr>
            <w:tcW w:type="dxa" w:w="6060"/>
            <w:vAlign w:val="top"/>
            <w:tcMar>
              <w:top w:w="80" w:type="dxa"/>
              <w:start w:w="120" w:type="dxa"/>
              <w:bottom w:w="80" w:type="dxa"/>
              <w:end w:w="120" w:type="dxa"/>
            </w:tcMar>
          </w:tcPr>
          <w:p>
            <w:pPr>
              <w:spacing w:after="0"/>
            </w:pPr>
            <w:r>
              <w:rPr>
                <w:sz w:val="16"/>
              </w:rPr>
              <w:t>Represent invited vendors, submission status, clarifications and versioned responses.</w:t>
            </w:r>
          </w:p>
        </w:tc>
        <w:tc>
          <w:tcPr>
            <w:tcW w:type="dxa" w:w="800"/>
            <w:vAlign w:val="top"/>
            <w:tcMar>
              <w:top w:w="80" w:type="dxa"/>
              <w:start w:w="120" w:type="dxa"/>
              <w:bottom w:w="80" w:type="dxa"/>
              <w:end w:w="120" w:type="dxa"/>
            </w:tcMar>
          </w:tcPr>
          <w:p>
            <w:pPr>
              <w:spacing w:after="0"/>
            </w:pPr>
            <w:r>
              <w:rPr>
                <w:sz w:val="16"/>
              </w:rPr>
              <w:t>Should</w:t>
            </w:r>
          </w:p>
        </w:tc>
      </w:tr>
      <w:tr>
        <w:trPr>
          <w:cantSplit/>
        </w:trPr>
        <w:tc>
          <w:tcPr>
            <w:tcW w:type="dxa" w:w="850"/>
            <w:vAlign w:val="top"/>
            <w:tcMar>
              <w:top w:w="80" w:type="dxa"/>
              <w:start w:w="120" w:type="dxa"/>
              <w:bottom w:w="80" w:type="dxa"/>
              <w:end w:w="120" w:type="dxa"/>
            </w:tcMar>
          </w:tcPr>
          <w:p>
            <w:pPr>
              <w:spacing w:after="0"/>
            </w:pPr>
            <w:r>
              <w:rPr>
                <w:sz w:val="16"/>
              </w:rPr>
              <w:t>FR-08</w:t>
            </w:r>
          </w:p>
        </w:tc>
        <w:tc>
          <w:tcPr>
            <w:tcW w:type="dxa" w:w="1650"/>
            <w:vAlign w:val="top"/>
            <w:tcMar>
              <w:top w:w="80" w:type="dxa"/>
              <w:start w:w="120" w:type="dxa"/>
              <w:bottom w:w="80" w:type="dxa"/>
              <w:end w:w="120" w:type="dxa"/>
            </w:tcMar>
          </w:tcPr>
          <w:p>
            <w:pPr>
              <w:spacing w:after="0"/>
            </w:pPr>
            <w:r>
              <w:rPr>
                <w:sz w:val="16"/>
              </w:rPr>
              <w:t>Bid normalization</w:t>
            </w:r>
          </w:p>
        </w:tc>
        <w:tc>
          <w:tcPr>
            <w:tcW w:type="dxa" w:w="6060"/>
            <w:vAlign w:val="top"/>
            <w:tcMar>
              <w:top w:w="80" w:type="dxa"/>
              <w:start w:w="120" w:type="dxa"/>
              <w:bottom w:w="80" w:type="dxa"/>
              <w:end w:w="120" w:type="dxa"/>
            </w:tcMar>
          </w:tcPr>
          <w:p>
            <w:pPr>
              <w:spacing w:after="0"/>
            </w:pPr>
            <w:r>
              <w:rPr>
                <w:sz w:val="16"/>
              </w:rPr>
              <w:t>Normalise differing lane coverage, rate units, surcharges, assumptions, service offers and exceptions into comparable views while preserving source values.</w:t>
            </w:r>
          </w:p>
        </w:tc>
        <w:tc>
          <w:tcPr>
            <w:tcW w:type="dxa" w:w="800"/>
            <w:vAlign w:val="top"/>
            <w:tcMar>
              <w:top w:w="80" w:type="dxa"/>
              <w:start w:w="120" w:type="dxa"/>
              <w:bottom w:w="80" w:type="dxa"/>
              <w:end w:w="120" w:type="dxa"/>
            </w:tcMar>
          </w:tcPr>
          <w:p>
            <w:pPr>
              <w:spacing w:after="0"/>
            </w:pPr>
            <w:r>
              <w:rPr>
                <w:sz w:val="16"/>
              </w:rPr>
              <w:t>Must</w:t>
            </w:r>
          </w:p>
        </w:tc>
      </w:tr>
      <w:tr>
        <w:trPr>
          <w:cantSplit/>
        </w:trPr>
        <w:tc>
          <w:tcPr>
            <w:tcW w:type="dxa" w:w="850"/>
            <w:vAlign w:val="top"/>
            <w:tcMar>
              <w:top w:w="80" w:type="dxa"/>
              <w:start w:w="120" w:type="dxa"/>
              <w:bottom w:w="80" w:type="dxa"/>
              <w:end w:w="120" w:type="dxa"/>
            </w:tcMar>
          </w:tcPr>
          <w:p>
            <w:pPr>
              <w:spacing w:after="0"/>
            </w:pPr>
            <w:r>
              <w:rPr>
                <w:sz w:val="16"/>
              </w:rPr>
              <w:t>FR-09</w:t>
            </w:r>
          </w:p>
        </w:tc>
        <w:tc>
          <w:tcPr>
            <w:tcW w:type="dxa" w:w="1650"/>
            <w:vAlign w:val="top"/>
            <w:tcMar>
              <w:top w:w="80" w:type="dxa"/>
              <w:start w:w="120" w:type="dxa"/>
              <w:bottom w:w="80" w:type="dxa"/>
              <w:end w:w="120" w:type="dxa"/>
            </w:tcMar>
          </w:tcPr>
          <w:p>
            <w:pPr>
              <w:spacing w:after="0"/>
            </w:pPr>
            <w:r>
              <w:rPr>
                <w:sz w:val="16"/>
              </w:rPr>
              <w:t>Qualification gates</w:t>
            </w:r>
          </w:p>
        </w:tc>
        <w:tc>
          <w:tcPr>
            <w:tcW w:type="dxa" w:w="6060"/>
            <w:vAlign w:val="top"/>
            <w:tcMar>
              <w:top w:w="80" w:type="dxa"/>
              <w:start w:w="120" w:type="dxa"/>
              <w:bottom w:w="80" w:type="dxa"/>
              <w:end w:w="120" w:type="dxa"/>
            </w:tcMar>
          </w:tcPr>
          <w:p>
            <w:pPr>
              <w:spacing w:after="0"/>
            </w:pPr>
            <w:r>
              <w:rPr>
                <w:sz w:val="16"/>
              </w:rPr>
              <w:t>Evaluate mandatory requirements separately from weighted scoring; failed bids must not be silently ranked as compliant.</w:t>
            </w:r>
          </w:p>
        </w:tc>
        <w:tc>
          <w:tcPr>
            <w:tcW w:type="dxa" w:w="800"/>
            <w:vAlign w:val="top"/>
            <w:tcMar>
              <w:top w:w="80" w:type="dxa"/>
              <w:start w:w="120" w:type="dxa"/>
              <w:bottom w:w="80" w:type="dxa"/>
              <w:end w:w="120" w:type="dxa"/>
            </w:tcMar>
          </w:tcPr>
          <w:p>
            <w:pPr>
              <w:spacing w:after="0"/>
            </w:pPr>
            <w:r>
              <w:rPr>
                <w:sz w:val="16"/>
              </w:rPr>
              <w:t>Must</w:t>
            </w:r>
          </w:p>
        </w:tc>
      </w:tr>
      <w:tr>
        <w:trPr>
          <w:cantSplit/>
        </w:trPr>
        <w:tc>
          <w:tcPr>
            <w:tcW w:type="dxa" w:w="850"/>
            <w:vAlign w:val="top"/>
            <w:tcMar>
              <w:top w:w="80" w:type="dxa"/>
              <w:start w:w="120" w:type="dxa"/>
              <w:bottom w:w="80" w:type="dxa"/>
              <w:end w:w="120" w:type="dxa"/>
            </w:tcMar>
          </w:tcPr>
          <w:p>
            <w:pPr>
              <w:spacing w:after="0"/>
            </w:pPr>
            <w:r>
              <w:rPr>
                <w:sz w:val="16"/>
              </w:rPr>
              <w:t>FR-10</w:t>
            </w:r>
          </w:p>
        </w:tc>
        <w:tc>
          <w:tcPr>
            <w:tcW w:type="dxa" w:w="1650"/>
            <w:vAlign w:val="top"/>
            <w:tcMar>
              <w:top w:w="80" w:type="dxa"/>
              <w:start w:w="120" w:type="dxa"/>
              <w:bottom w:w="80" w:type="dxa"/>
              <w:end w:w="120" w:type="dxa"/>
            </w:tcMar>
          </w:tcPr>
          <w:p>
            <w:pPr>
              <w:spacing w:after="0"/>
            </w:pPr>
            <w:r>
              <w:rPr>
                <w:sz w:val="16"/>
              </w:rPr>
              <w:t>Scenario evaluation</w:t>
            </w:r>
          </w:p>
        </w:tc>
        <w:tc>
          <w:tcPr>
            <w:tcW w:type="dxa" w:w="6060"/>
            <w:vAlign w:val="top"/>
            <w:tcMar>
              <w:top w:w="80" w:type="dxa"/>
              <w:start w:w="120" w:type="dxa"/>
              <w:bottom w:w="80" w:type="dxa"/>
              <w:end w:w="120" w:type="dxa"/>
            </w:tcMar>
          </w:tcPr>
          <w:p>
            <w:pPr>
              <w:spacing w:after="0"/>
            </w:pPr>
            <w:r>
              <w:rPr>
                <w:sz w:val="16"/>
              </w:rPr>
              <w:t>Compare single- and multi-award scenarios and show cost, service, capacity, concentration and performance trade-offs.</w:t>
            </w:r>
          </w:p>
        </w:tc>
        <w:tc>
          <w:tcPr>
            <w:tcW w:type="dxa" w:w="800"/>
            <w:vAlign w:val="top"/>
            <w:tcMar>
              <w:top w:w="80" w:type="dxa"/>
              <w:start w:w="120" w:type="dxa"/>
              <w:bottom w:w="80" w:type="dxa"/>
              <w:end w:w="120" w:type="dxa"/>
            </w:tcMar>
          </w:tcPr>
          <w:p>
            <w:pPr>
              <w:spacing w:after="0"/>
            </w:pPr>
            <w:r>
              <w:rPr>
                <w:sz w:val="16"/>
              </w:rPr>
              <w:t>Should</w:t>
            </w:r>
          </w:p>
        </w:tc>
      </w:tr>
      <w:tr>
        <w:trPr>
          <w:cantSplit/>
        </w:trPr>
        <w:tc>
          <w:tcPr>
            <w:tcW w:type="dxa" w:w="850"/>
            <w:vAlign w:val="top"/>
            <w:tcMar>
              <w:top w:w="80" w:type="dxa"/>
              <w:start w:w="120" w:type="dxa"/>
              <w:bottom w:w="80" w:type="dxa"/>
              <w:end w:w="120" w:type="dxa"/>
            </w:tcMar>
          </w:tcPr>
          <w:p>
            <w:pPr>
              <w:spacing w:after="0"/>
            </w:pPr>
            <w:r>
              <w:rPr>
                <w:sz w:val="16"/>
              </w:rPr>
              <w:t>FR-11</w:t>
            </w:r>
          </w:p>
        </w:tc>
        <w:tc>
          <w:tcPr>
            <w:tcW w:type="dxa" w:w="1650"/>
            <w:vAlign w:val="top"/>
            <w:tcMar>
              <w:top w:w="80" w:type="dxa"/>
              <w:start w:w="120" w:type="dxa"/>
              <w:bottom w:w="80" w:type="dxa"/>
              <w:end w:w="120" w:type="dxa"/>
            </w:tcMar>
          </w:tcPr>
          <w:p>
            <w:pPr>
              <w:spacing w:after="0"/>
            </w:pPr>
            <w:r>
              <w:rPr>
                <w:sz w:val="16"/>
              </w:rPr>
              <w:t>Recommendation</w:t>
            </w:r>
          </w:p>
        </w:tc>
        <w:tc>
          <w:tcPr>
            <w:tcW w:type="dxa" w:w="6060"/>
            <w:vAlign w:val="top"/>
            <w:tcMar>
              <w:top w:w="80" w:type="dxa"/>
              <w:start w:w="120" w:type="dxa"/>
              <w:bottom w:w="80" w:type="dxa"/>
              <w:end w:w="120" w:type="dxa"/>
            </w:tcMar>
          </w:tcPr>
          <w:p>
            <w:pPr>
              <w:spacing w:after="0"/>
            </w:pPr>
            <w:r>
              <w:rPr>
                <w:sz w:val="16"/>
              </w:rPr>
              <w:t>Generate an evidence-backed award recommendation with alternatives, key assumptions, unresolved exceptions and expected impact.</w:t>
            </w:r>
          </w:p>
        </w:tc>
        <w:tc>
          <w:tcPr>
            <w:tcW w:type="dxa" w:w="800"/>
            <w:vAlign w:val="top"/>
            <w:tcMar>
              <w:top w:w="80" w:type="dxa"/>
              <w:start w:w="120" w:type="dxa"/>
              <w:bottom w:w="80" w:type="dxa"/>
              <w:end w:w="120" w:type="dxa"/>
            </w:tcMar>
          </w:tcPr>
          <w:p>
            <w:pPr>
              <w:spacing w:after="0"/>
            </w:pPr>
            <w:r>
              <w:rPr>
                <w:sz w:val="16"/>
              </w:rPr>
              <w:t>Must</w:t>
            </w:r>
          </w:p>
        </w:tc>
      </w:tr>
      <w:tr>
        <w:trPr>
          <w:cantSplit/>
        </w:trPr>
        <w:tc>
          <w:tcPr>
            <w:tcW w:type="dxa" w:w="850"/>
            <w:vAlign w:val="top"/>
            <w:tcMar>
              <w:top w:w="80" w:type="dxa"/>
              <w:start w:w="120" w:type="dxa"/>
              <w:bottom w:w="80" w:type="dxa"/>
              <w:end w:w="120" w:type="dxa"/>
            </w:tcMar>
          </w:tcPr>
          <w:p>
            <w:pPr>
              <w:spacing w:after="0"/>
            </w:pPr>
            <w:r>
              <w:rPr>
                <w:sz w:val="16"/>
              </w:rPr>
              <w:t>FR-12</w:t>
            </w:r>
          </w:p>
        </w:tc>
        <w:tc>
          <w:tcPr>
            <w:tcW w:type="dxa" w:w="1650"/>
            <w:vAlign w:val="top"/>
            <w:tcMar>
              <w:top w:w="80" w:type="dxa"/>
              <w:start w:w="120" w:type="dxa"/>
              <w:bottom w:w="80" w:type="dxa"/>
              <w:end w:w="120" w:type="dxa"/>
            </w:tcMar>
          </w:tcPr>
          <w:p>
            <w:pPr>
              <w:spacing w:after="0"/>
            </w:pPr>
            <w:r>
              <w:rPr>
                <w:sz w:val="16"/>
              </w:rPr>
              <w:t>Human approval</w:t>
            </w:r>
          </w:p>
        </w:tc>
        <w:tc>
          <w:tcPr>
            <w:tcW w:type="dxa" w:w="6060"/>
            <w:vAlign w:val="top"/>
            <w:tcMar>
              <w:top w:w="80" w:type="dxa"/>
              <w:start w:w="120" w:type="dxa"/>
              <w:bottom w:w="80" w:type="dxa"/>
              <w:end w:w="120" w:type="dxa"/>
            </w:tcMar>
          </w:tcPr>
          <w:p>
            <w:pPr>
              <w:spacing w:after="0"/>
            </w:pPr>
            <w:r>
              <w:rPr>
                <w:sz w:val="16"/>
              </w:rPr>
              <w:t>Require named human approval or return-for-revision before an award is recorded; preserve comments and timestamps.</w:t>
            </w:r>
          </w:p>
        </w:tc>
        <w:tc>
          <w:tcPr>
            <w:tcW w:type="dxa" w:w="800"/>
            <w:vAlign w:val="top"/>
            <w:tcMar>
              <w:top w:w="80" w:type="dxa"/>
              <w:start w:w="120" w:type="dxa"/>
              <w:bottom w:w="80" w:type="dxa"/>
              <w:end w:w="120" w:type="dxa"/>
            </w:tcMar>
          </w:tcPr>
          <w:p>
            <w:pPr>
              <w:spacing w:after="0"/>
            </w:pPr>
            <w:r>
              <w:rPr>
                <w:sz w:val="16"/>
              </w:rPr>
              <w:t>Must</w:t>
            </w:r>
          </w:p>
        </w:tc>
      </w:tr>
      <w:tr>
        <w:trPr>
          <w:cantSplit/>
        </w:trPr>
        <w:tc>
          <w:tcPr>
            <w:tcW w:type="dxa" w:w="850"/>
            <w:vAlign w:val="top"/>
            <w:tcMar>
              <w:top w:w="80" w:type="dxa"/>
              <w:start w:w="120" w:type="dxa"/>
              <w:bottom w:w="80" w:type="dxa"/>
              <w:end w:w="120" w:type="dxa"/>
            </w:tcMar>
          </w:tcPr>
          <w:p>
            <w:pPr>
              <w:spacing w:after="0"/>
            </w:pPr>
            <w:r>
              <w:rPr>
                <w:sz w:val="16"/>
              </w:rPr>
              <w:t>FR-13</w:t>
            </w:r>
          </w:p>
        </w:tc>
        <w:tc>
          <w:tcPr>
            <w:tcW w:type="dxa" w:w="1650"/>
            <w:vAlign w:val="top"/>
            <w:tcMar>
              <w:top w:w="80" w:type="dxa"/>
              <w:start w:w="120" w:type="dxa"/>
              <w:bottom w:w="80" w:type="dxa"/>
              <w:end w:w="120" w:type="dxa"/>
            </w:tcMar>
          </w:tcPr>
          <w:p>
            <w:pPr>
              <w:spacing w:after="0"/>
            </w:pPr>
            <w:r>
              <w:rPr>
                <w:sz w:val="16"/>
              </w:rPr>
              <w:t>Contract baseline</w:t>
            </w:r>
          </w:p>
        </w:tc>
        <w:tc>
          <w:tcPr>
            <w:tcW w:type="dxa" w:w="6060"/>
            <w:vAlign w:val="top"/>
            <w:tcMar>
              <w:top w:w="80" w:type="dxa"/>
              <w:start w:w="120" w:type="dxa"/>
              <w:bottom w:w="80" w:type="dxa"/>
              <w:end w:w="120" w:type="dxa"/>
            </w:tcMar>
          </w:tcPr>
          <w:p>
            <w:pPr>
              <w:spacing w:after="0"/>
            </w:pPr>
            <w:r>
              <w:rPr>
                <w:sz w:val="16"/>
              </w:rPr>
              <w:t>On award, create KPI/SLA, rate, lane, volume, capacity and governance obligations from the approved bid/contract terms.</w:t>
            </w:r>
          </w:p>
        </w:tc>
        <w:tc>
          <w:tcPr>
            <w:tcW w:type="dxa" w:w="800"/>
            <w:vAlign w:val="top"/>
            <w:tcMar>
              <w:top w:w="80" w:type="dxa"/>
              <w:start w:w="120" w:type="dxa"/>
              <w:bottom w:w="80" w:type="dxa"/>
              <w:end w:w="120" w:type="dxa"/>
            </w:tcMar>
          </w:tcPr>
          <w:p>
            <w:pPr>
              <w:spacing w:after="0"/>
            </w:pPr>
            <w:r>
              <w:rPr>
                <w:sz w:val="16"/>
              </w:rPr>
              <w:t>Must</w:t>
            </w:r>
          </w:p>
        </w:tc>
      </w:tr>
      <w:tr>
        <w:trPr>
          <w:cantSplit/>
        </w:trPr>
        <w:tc>
          <w:tcPr>
            <w:tcW w:type="dxa" w:w="850"/>
            <w:vAlign w:val="top"/>
            <w:tcMar>
              <w:top w:w="80" w:type="dxa"/>
              <w:start w:w="120" w:type="dxa"/>
              <w:bottom w:w="80" w:type="dxa"/>
              <w:end w:w="120" w:type="dxa"/>
            </w:tcMar>
          </w:tcPr>
          <w:p>
            <w:pPr>
              <w:spacing w:after="0"/>
            </w:pPr>
            <w:r>
              <w:rPr>
                <w:sz w:val="16"/>
              </w:rPr>
              <w:t>FR-14</w:t>
            </w:r>
          </w:p>
        </w:tc>
        <w:tc>
          <w:tcPr>
            <w:tcW w:type="dxa" w:w="1650"/>
            <w:vAlign w:val="top"/>
            <w:tcMar>
              <w:top w:w="80" w:type="dxa"/>
              <w:start w:w="120" w:type="dxa"/>
              <w:bottom w:w="80" w:type="dxa"/>
              <w:end w:w="120" w:type="dxa"/>
            </w:tcMar>
          </w:tcPr>
          <w:p>
            <w:pPr>
              <w:spacing w:after="0"/>
            </w:pPr>
            <w:r>
              <w:rPr>
                <w:sz w:val="16"/>
              </w:rPr>
              <w:t>Vendor 360</w:t>
            </w:r>
          </w:p>
        </w:tc>
        <w:tc>
          <w:tcPr>
            <w:tcW w:type="dxa" w:w="6060"/>
            <w:vAlign w:val="top"/>
            <w:tcMar>
              <w:top w:w="80" w:type="dxa"/>
              <w:start w:w="120" w:type="dxa"/>
              <w:bottom w:w="80" w:type="dxa"/>
              <w:end w:w="120" w:type="dxa"/>
            </w:tcMar>
          </w:tcPr>
          <w:p>
            <w:pPr>
              <w:spacing w:after="0"/>
            </w:pPr>
            <w:r>
              <w:rPr>
                <w:sz w:val="16"/>
              </w:rPr>
              <w:t>Maintain a native profile containing relationship, sourcing, commercial, contract, operational, incident, corrective-action and performance history.</w:t>
            </w:r>
          </w:p>
        </w:tc>
        <w:tc>
          <w:tcPr>
            <w:tcW w:type="dxa" w:w="800"/>
            <w:vAlign w:val="top"/>
            <w:tcMar>
              <w:top w:w="80" w:type="dxa"/>
              <w:start w:w="120" w:type="dxa"/>
              <w:bottom w:w="80" w:type="dxa"/>
              <w:end w:w="120" w:type="dxa"/>
            </w:tcMar>
          </w:tcPr>
          <w:p>
            <w:pPr>
              <w:spacing w:after="0"/>
            </w:pPr>
            <w:r>
              <w:rPr>
                <w:sz w:val="16"/>
              </w:rPr>
              <w:t>Must</w:t>
            </w:r>
          </w:p>
        </w:tc>
      </w:tr>
      <w:tr>
        <w:trPr>
          <w:cantSplit/>
        </w:trPr>
        <w:tc>
          <w:tcPr>
            <w:tcW w:type="dxa" w:w="850"/>
            <w:vAlign w:val="top"/>
            <w:tcMar>
              <w:top w:w="80" w:type="dxa"/>
              <w:start w:w="120" w:type="dxa"/>
              <w:bottom w:w="80" w:type="dxa"/>
              <w:end w:w="120" w:type="dxa"/>
            </w:tcMar>
          </w:tcPr>
          <w:p>
            <w:pPr>
              <w:spacing w:after="0"/>
            </w:pPr>
            <w:r>
              <w:rPr>
                <w:sz w:val="16"/>
              </w:rPr>
              <w:t>FR-15</w:t>
            </w:r>
          </w:p>
        </w:tc>
        <w:tc>
          <w:tcPr>
            <w:tcW w:type="dxa" w:w="1650"/>
            <w:vAlign w:val="top"/>
            <w:tcMar>
              <w:top w:w="80" w:type="dxa"/>
              <w:start w:w="120" w:type="dxa"/>
              <w:bottom w:w="80" w:type="dxa"/>
              <w:end w:w="120" w:type="dxa"/>
            </w:tcMar>
          </w:tcPr>
          <w:p>
            <w:pPr>
              <w:spacing w:after="0"/>
            </w:pPr>
            <w:r>
              <w:rPr>
                <w:sz w:val="16"/>
              </w:rPr>
              <w:t>Performance score</w:t>
            </w:r>
          </w:p>
        </w:tc>
        <w:tc>
          <w:tcPr>
            <w:tcW w:type="dxa" w:w="6060"/>
            <w:vAlign w:val="top"/>
            <w:tcMar>
              <w:top w:w="80" w:type="dxa"/>
              <w:start w:w="120" w:type="dxa"/>
              <w:bottom w:w="80" w:type="dxa"/>
              <w:end w:w="120" w:type="dxa"/>
            </w:tcMar>
          </w:tcPr>
          <w:p>
            <w:pPr>
              <w:spacing w:after="0"/>
            </w:pPr>
            <w:r>
              <w:rPr>
                <w:sz w:val="16"/>
              </w:rPr>
              <w:t>Calculate a transparent, configurable score from verified component metrics; expose formula, weights, period, targets, sources and drivers.</w:t>
            </w:r>
          </w:p>
        </w:tc>
        <w:tc>
          <w:tcPr>
            <w:tcW w:type="dxa" w:w="800"/>
            <w:vAlign w:val="top"/>
            <w:tcMar>
              <w:top w:w="80" w:type="dxa"/>
              <w:start w:w="120" w:type="dxa"/>
              <w:bottom w:w="80" w:type="dxa"/>
              <w:end w:w="120" w:type="dxa"/>
            </w:tcMar>
          </w:tcPr>
          <w:p>
            <w:pPr>
              <w:spacing w:after="0"/>
            </w:pPr>
            <w:r>
              <w:rPr>
                <w:sz w:val="16"/>
              </w:rPr>
              <w:t>Must</w:t>
            </w:r>
          </w:p>
        </w:tc>
      </w:tr>
      <w:tr>
        <w:trPr>
          <w:cantSplit/>
        </w:trPr>
        <w:tc>
          <w:tcPr>
            <w:tcW w:type="dxa" w:w="850"/>
            <w:vAlign w:val="top"/>
            <w:tcMar>
              <w:top w:w="80" w:type="dxa"/>
              <w:start w:w="120" w:type="dxa"/>
              <w:bottom w:w="80" w:type="dxa"/>
              <w:end w:w="120" w:type="dxa"/>
            </w:tcMar>
          </w:tcPr>
          <w:p>
            <w:pPr>
              <w:spacing w:after="0"/>
            </w:pPr>
            <w:r>
              <w:rPr>
                <w:sz w:val="16"/>
              </w:rPr>
              <w:t>FR-16</w:t>
            </w:r>
          </w:p>
        </w:tc>
        <w:tc>
          <w:tcPr>
            <w:tcW w:type="dxa" w:w="1650"/>
            <w:vAlign w:val="top"/>
            <w:tcMar>
              <w:top w:w="80" w:type="dxa"/>
              <w:start w:w="120" w:type="dxa"/>
              <w:bottom w:w="80" w:type="dxa"/>
              <w:end w:w="120" w:type="dxa"/>
            </w:tcMar>
          </w:tcPr>
          <w:p>
            <w:pPr>
              <w:spacing w:after="0"/>
            </w:pPr>
            <w:r>
              <w:rPr>
                <w:sz w:val="16"/>
              </w:rPr>
              <w:t>No History</w:t>
            </w:r>
          </w:p>
        </w:tc>
        <w:tc>
          <w:tcPr>
            <w:tcW w:type="dxa" w:w="6060"/>
            <w:vAlign w:val="top"/>
            <w:tcMar>
              <w:top w:w="80" w:type="dxa"/>
              <w:start w:w="120" w:type="dxa"/>
              <w:bottom w:w="80" w:type="dxa"/>
              <w:end w:w="120" w:type="dxa"/>
            </w:tcMar>
          </w:tcPr>
          <w:p>
            <w:pPr>
              <w:spacing w:after="0"/>
            </w:pPr>
            <w:r>
              <w:rPr>
                <w:sz w:val="16"/>
              </w:rPr>
              <w:t>Represent new or unobserved vendors as No History; do not invent, impute or automatically penalize a missing internal performance record.</w:t>
            </w:r>
          </w:p>
        </w:tc>
        <w:tc>
          <w:tcPr>
            <w:tcW w:type="dxa" w:w="800"/>
            <w:vAlign w:val="top"/>
            <w:tcMar>
              <w:top w:w="80" w:type="dxa"/>
              <w:start w:w="120" w:type="dxa"/>
              <w:bottom w:w="80" w:type="dxa"/>
              <w:end w:w="120" w:type="dxa"/>
            </w:tcMar>
          </w:tcPr>
          <w:p>
            <w:pPr>
              <w:spacing w:after="0"/>
            </w:pPr>
            <w:r>
              <w:rPr>
                <w:sz w:val="16"/>
              </w:rPr>
              <w:t>Must</w:t>
            </w:r>
          </w:p>
        </w:tc>
      </w:tr>
      <w:tr>
        <w:trPr>
          <w:cantSplit/>
        </w:trPr>
        <w:tc>
          <w:tcPr>
            <w:tcW w:type="dxa" w:w="850"/>
            <w:vAlign w:val="top"/>
            <w:tcMar>
              <w:top w:w="80" w:type="dxa"/>
              <w:start w:w="120" w:type="dxa"/>
              <w:bottom w:w="80" w:type="dxa"/>
              <w:end w:w="120" w:type="dxa"/>
            </w:tcMar>
          </w:tcPr>
          <w:p>
            <w:pPr>
              <w:spacing w:after="0"/>
            </w:pPr>
            <w:r>
              <w:rPr>
                <w:sz w:val="16"/>
              </w:rPr>
              <w:t>FR-17</w:t>
            </w:r>
          </w:p>
        </w:tc>
        <w:tc>
          <w:tcPr>
            <w:tcW w:type="dxa" w:w="1650"/>
            <w:vAlign w:val="top"/>
            <w:tcMar>
              <w:top w:w="80" w:type="dxa"/>
              <w:start w:w="120" w:type="dxa"/>
              <w:bottom w:w="80" w:type="dxa"/>
              <w:end w:w="120" w:type="dxa"/>
            </w:tcMar>
          </w:tcPr>
          <w:p>
            <w:pPr>
              <w:spacing w:after="0"/>
            </w:pPr>
            <w:r>
              <w:rPr>
                <w:sz w:val="16"/>
              </w:rPr>
              <w:t>Performance monitoring</w:t>
            </w:r>
          </w:p>
        </w:tc>
        <w:tc>
          <w:tcPr>
            <w:tcW w:type="dxa" w:w="6060"/>
            <w:vAlign w:val="top"/>
            <w:tcMar>
              <w:top w:w="80" w:type="dxa"/>
              <w:start w:w="120" w:type="dxa"/>
              <w:bottom w:w="80" w:type="dxa"/>
              <w:end w:w="120" w:type="dxa"/>
            </w:tcMar>
          </w:tcPr>
          <w:p>
            <w:pPr>
              <w:spacing w:after="0"/>
            </w:pPr>
            <w:r>
              <w:rPr>
                <w:sz w:val="16"/>
              </w:rPr>
              <w:t>Compare actuals with contractual targets by period and show score movement, trends, exceptions and affected lanes/shipments.</w:t>
            </w:r>
          </w:p>
        </w:tc>
        <w:tc>
          <w:tcPr>
            <w:tcW w:type="dxa" w:w="800"/>
            <w:vAlign w:val="top"/>
            <w:tcMar>
              <w:top w:w="80" w:type="dxa"/>
              <w:start w:w="120" w:type="dxa"/>
              <w:bottom w:w="80" w:type="dxa"/>
              <w:end w:w="120" w:type="dxa"/>
            </w:tcMar>
          </w:tcPr>
          <w:p>
            <w:pPr>
              <w:spacing w:after="0"/>
            </w:pPr>
            <w:r>
              <w:rPr>
                <w:sz w:val="16"/>
              </w:rPr>
              <w:t>Must</w:t>
            </w:r>
          </w:p>
        </w:tc>
      </w:tr>
      <w:tr>
        <w:trPr>
          <w:cantSplit/>
        </w:trPr>
        <w:tc>
          <w:tcPr>
            <w:tcW w:type="dxa" w:w="850"/>
            <w:vAlign w:val="top"/>
            <w:tcMar>
              <w:top w:w="80" w:type="dxa"/>
              <w:start w:w="120" w:type="dxa"/>
              <w:bottom w:w="80" w:type="dxa"/>
              <w:end w:w="120" w:type="dxa"/>
            </w:tcMar>
          </w:tcPr>
          <w:p>
            <w:pPr>
              <w:spacing w:after="0"/>
            </w:pPr>
            <w:r>
              <w:rPr>
                <w:sz w:val="16"/>
              </w:rPr>
              <w:t>FR-18</w:t>
            </w:r>
          </w:p>
        </w:tc>
        <w:tc>
          <w:tcPr>
            <w:tcW w:type="dxa" w:w="1650"/>
            <w:vAlign w:val="top"/>
            <w:tcMar>
              <w:top w:w="80" w:type="dxa"/>
              <w:start w:w="120" w:type="dxa"/>
              <w:bottom w:w="80" w:type="dxa"/>
              <w:end w:w="120" w:type="dxa"/>
            </w:tcMar>
          </w:tcPr>
          <w:p>
            <w:pPr>
              <w:spacing w:after="0"/>
            </w:pPr>
            <w:r>
              <w:rPr>
                <w:sz w:val="16"/>
              </w:rPr>
              <w:t>Corrective actions</w:t>
            </w:r>
          </w:p>
        </w:tc>
        <w:tc>
          <w:tcPr>
            <w:tcW w:type="dxa" w:w="6060"/>
            <w:vAlign w:val="top"/>
            <w:tcMar>
              <w:top w:w="80" w:type="dxa"/>
              <w:start w:w="120" w:type="dxa"/>
              <w:bottom w:w="80" w:type="dxa"/>
              <w:end w:w="120" w:type="dxa"/>
            </w:tcMar>
          </w:tcPr>
          <w:p>
            <w:pPr>
              <w:spacing w:after="0"/>
            </w:pPr>
            <w:r>
              <w:rPr>
                <w:sz w:val="16"/>
              </w:rPr>
              <w:t>Create recommended actions for underperformance or commercial exceptions; allow assignment, due dates, status, notes and closure evidence.</w:t>
            </w:r>
          </w:p>
        </w:tc>
        <w:tc>
          <w:tcPr>
            <w:tcW w:type="dxa" w:w="800"/>
            <w:vAlign w:val="top"/>
            <w:tcMar>
              <w:top w:w="80" w:type="dxa"/>
              <w:start w:w="120" w:type="dxa"/>
              <w:bottom w:w="80" w:type="dxa"/>
              <w:end w:w="120" w:type="dxa"/>
            </w:tcMar>
          </w:tcPr>
          <w:p>
            <w:pPr>
              <w:spacing w:after="0"/>
            </w:pPr>
            <w:r>
              <w:rPr>
                <w:sz w:val="16"/>
              </w:rPr>
              <w:t>Should</w:t>
            </w:r>
          </w:p>
        </w:tc>
      </w:tr>
      <w:tr>
        <w:trPr>
          <w:cantSplit/>
        </w:trPr>
        <w:tc>
          <w:tcPr>
            <w:tcW w:type="dxa" w:w="850"/>
            <w:vAlign w:val="top"/>
            <w:tcMar>
              <w:top w:w="80" w:type="dxa"/>
              <w:start w:w="120" w:type="dxa"/>
              <w:bottom w:w="80" w:type="dxa"/>
              <w:end w:w="120" w:type="dxa"/>
            </w:tcMar>
          </w:tcPr>
          <w:p>
            <w:pPr>
              <w:spacing w:after="0"/>
            </w:pPr>
            <w:r>
              <w:rPr>
                <w:sz w:val="16"/>
              </w:rPr>
              <w:t>FR-19</w:t>
            </w:r>
          </w:p>
        </w:tc>
        <w:tc>
          <w:tcPr>
            <w:tcW w:type="dxa" w:w="1650"/>
            <w:vAlign w:val="top"/>
            <w:tcMar>
              <w:top w:w="80" w:type="dxa"/>
              <w:start w:w="120" w:type="dxa"/>
              <w:bottom w:w="80" w:type="dxa"/>
              <w:end w:w="120" w:type="dxa"/>
            </w:tcMar>
          </w:tcPr>
          <w:p>
            <w:pPr>
              <w:spacing w:after="0"/>
            </w:pPr>
            <w:r>
              <w:rPr>
                <w:sz w:val="16"/>
              </w:rPr>
              <w:t>Positive opportunities</w:t>
            </w:r>
          </w:p>
        </w:tc>
        <w:tc>
          <w:tcPr>
            <w:tcW w:type="dxa" w:w="6060"/>
            <w:vAlign w:val="top"/>
            <w:tcMar>
              <w:top w:w="80" w:type="dxa"/>
              <w:start w:w="120" w:type="dxa"/>
              <w:bottom w:w="80" w:type="dxa"/>
              <w:end w:w="120" w:type="dxa"/>
            </w:tcMar>
          </w:tcPr>
          <w:p>
            <w:pPr>
              <w:spacing w:after="0"/>
            </w:pPr>
            <w:r>
              <w:rPr>
                <w:sz w:val="16"/>
              </w:rPr>
              <w:t>Identify sustained high performance or cost/service advantage as evidence for future allocation or sourcing consideration.</w:t>
            </w:r>
          </w:p>
        </w:tc>
        <w:tc>
          <w:tcPr>
            <w:tcW w:type="dxa" w:w="800"/>
            <w:vAlign w:val="top"/>
            <w:tcMar>
              <w:top w:w="80" w:type="dxa"/>
              <w:start w:w="120" w:type="dxa"/>
              <w:bottom w:w="80" w:type="dxa"/>
              <w:end w:w="120" w:type="dxa"/>
            </w:tcMar>
          </w:tcPr>
          <w:p>
            <w:pPr>
              <w:spacing w:after="0"/>
            </w:pPr>
            <w:r>
              <w:rPr>
                <w:sz w:val="16"/>
              </w:rPr>
              <w:t>Could</w:t>
            </w:r>
          </w:p>
        </w:tc>
      </w:tr>
      <w:tr>
        <w:trPr>
          <w:cantSplit/>
        </w:trPr>
        <w:tc>
          <w:tcPr>
            <w:tcW w:type="dxa" w:w="850"/>
            <w:vAlign w:val="top"/>
            <w:tcMar>
              <w:top w:w="80" w:type="dxa"/>
              <w:start w:w="120" w:type="dxa"/>
              <w:bottom w:w="80" w:type="dxa"/>
              <w:end w:w="120" w:type="dxa"/>
            </w:tcMar>
          </w:tcPr>
          <w:p>
            <w:pPr>
              <w:spacing w:after="0"/>
            </w:pPr>
            <w:r>
              <w:rPr>
                <w:sz w:val="16"/>
              </w:rPr>
              <w:t>FR-20</w:t>
            </w:r>
          </w:p>
        </w:tc>
        <w:tc>
          <w:tcPr>
            <w:tcW w:type="dxa" w:w="1650"/>
            <w:vAlign w:val="top"/>
            <w:tcMar>
              <w:top w:w="80" w:type="dxa"/>
              <w:start w:w="120" w:type="dxa"/>
              <w:bottom w:w="80" w:type="dxa"/>
              <w:end w:w="120" w:type="dxa"/>
            </w:tcMar>
          </w:tcPr>
          <w:p>
            <w:pPr>
              <w:spacing w:after="0"/>
            </w:pPr>
            <w:r>
              <w:rPr>
                <w:sz w:val="16"/>
              </w:rPr>
              <w:t>Renewal/re-tender</w:t>
            </w:r>
          </w:p>
        </w:tc>
        <w:tc>
          <w:tcPr>
            <w:tcW w:type="dxa" w:w="6060"/>
            <w:vAlign w:val="top"/>
            <w:tcMar>
              <w:top w:w="80" w:type="dxa"/>
              <w:start w:w="120" w:type="dxa"/>
              <w:bottom w:w="80" w:type="dxa"/>
              <w:end w:w="120" w:type="dxa"/>
            </w:tcMar>
          </w:tcPr>
          <w:p>
            <w:pPr>
              <w:spacing w:after="0"/>
            </w:pPr>
            <w:r>
              <w:rPr>
                <w:sz w:val="16"/>
              </w:rPr>
              <w:t>Create an expiry/renewal action informed by actual spend, performance, incidents, corrective actions and prior award rationale.</w:t>
            </w:r>
          </w:p>
        </w:tc>
        <w:tc>
          <w:tcPr>
            <w:tcW w:type="dxa" w:w="800"/>
            <w:vAlign w:val="top"/>
            <w:tcMar>
              <w:top w:w="80" w:type="dxa"/>
              <w:start w:w="120" w:type="dxa"/>
              <w:bottom w:w="80" w:type="dxa"/>
              <w:end w:w="120" w:type="dxa"/>
            </w:tcMar>
          </w:tcPr>
          <w:p>
            <w:pPr>
              <w:spacing w:after="0"/>
            </w:pPr>
            <w:r>
              <w:rPr>
                <w:sz w:val="16"/>
              </w:rPr>
              <w:t>Must</w:t>
            </w:r>
          </w:p>
        </w:tc>
      </w:tr>
      <w:tr>
        <w:trPr>
          <w:cantSplit/>
        </w:trPr>
        <w:tc>
          <w:tcPr>
            <w:tcW w:type="dxa" w:w="850"/>
            <w:vAlign w:val="top"/>
            <w:tcMar>
              <w:top w:w="80" w:type="dxa"/>
              <w:start w:w="120" w:type="dxa"/>
              <w:bottom w:w="80" w:type="dxa"/>
              <w:end w:w="120" w:type="dxa"/>
            </w:tcMar>
          </w:tcPr>
          <w:p>
            <w:pPr>
              <w:spacing w:after="0"/>
            </w:pPr>
            <w:r>
              <w:rPr>
                <w:sz w:val="16"/>
              </w:rPr>
              <w:t>FR-21</w:t>
            </w:r>
          </w:p>
        </w:tc>
        <w:tc>
          <w:tcPr>
            <w:tcW w:type="dxa" w:w="1650"/>
            <w:vAlign w:val="top"/>
            <w:tcMar>
              <w:top w:w="80" w:type="dxa"/>
              <w:start w:w="120" w:type="dxa"/>
              <w:bottom w:w="80" w:type="dxa"/>
              <w:end w:w="120" w:type="dxa"/>
            </w:tcMar>
          </w:tcPr>
          <w:p>
            <w:pPr>
              <w:spacing w:after="0"/>
            </w:pPr>
            <w:r>
              <w:rPr>
                <w:sz w:val="16"/>
              </w:rPr>
              <w:t>Audit and lineage</w:t>
            </w:r>
          </w:p>
        </w:tc>
        <w:tc>
          <w:tcPr>
            <w:tcW w:type="dxa" w:w="6060"/>
            <w:vAlign w:val="top"/>
            <w:tcMar>
              <w:top w:w="80" w:type="dxa"/>
              <w:start w:w="120" w:type="dxa"/>
              <w:bottom w:w="80" w:type="dxa"/>
              <w:end w:w="120" w:type="dxa"/>
            </w:tcMar>
          </w:tcPr>
          <w:p>
            <w:pPr>
              <w:spacing w:after="0"/>
            </w:pPr>
            <w:r>
              <w:rPr>
                <w:sz w:val="16"/>
              </w:rPr>
              <w:t>Provide traceability from every material value, score and recommendation to its source, transformation, timestamp and user/system action.</w:t>
            </w:r>
          </w:p>
        </w:tc>
        <w:tc>
          <w:tcPr>
            <w:tcW w:type="dxa" w:w="800"/>
            <w:vAlign w:val="top"/>
            <w:tcMar>
              <w:top w:w="80" w:type="dxa"/>
              <w:start w:w="120" w:type="dxa"/>
              <w:bottom w:w="80" w:type="dxa"/>
              <w:end w:w="120" w:type="dxa"/>
            </w:tcMar>
          </w:tcPr>
          <w:p>
            <w:pPr>
              <w:spacing w:after="0"/>
            </w:pPr>
            <w:r>
              <w:rPr>
                <w:sz w:val="16"/>
              </w:rPr>
              <w:t>Must</w:t>
            </w:r>
          </w:p>
        </w:tc>
      </w:tr>
      <w:tr>
        <w:trPr>
          <w:cantSplit/>
        </w:trPr>
        <w:tc>
          <w:tcPr>
            <w:tcW w:type="dxa" w:w="850"/>
            <w:vAlign w:val="top"/>
            <w:tcMar>
              <w:top w:w="80" w:type="dxa"/>
              <w:start w:w="120" w:type="dxa"/>
              <w:bottom w:w="80" w:type="dxa"/>
              <w:end w:w="120" w:type="dxa"/>
            </w:tcMar>
          </w:tcPr>
          <w:p>
            <w:pPr>
              <w:spacing w:after="0"/>
            </w:pPr>
            <w:r>
              <w:rPr>
                <w:sz w:val="16"/>
              </w:rPr>
              <w:t>FR-22</w:t>
            </w:r>
          </w:p>
        </w:tc>
        <w:tc>
          <w:tcPr>
            <w:tcW w:type="dxa" w:w="1650"/>
            <w:vAlign w:val="top"/>
            <w:tcMar>
              <w:top w:w="80" w:type="dxa"/>
              <w:start w:w="120" w:type="dxa"/>
              <w:bottom w:w="80" w:type="dxa"/>
              <w:end w:w="120" w:type="dxa"/>
            </w:tcMar>
          </w:tcPr>
          <w:p>
            <w:pPr>
              <w:spacing w:after="0"/>
            </w:pPr>
            <w:r>
              <w:rPr>
                <w:sz w:val="16"/>
              </w:rPr>
              <w:t>Overrides</w:t>
            </w:r>
          </w:p>
        </w:tc>
        <w:tc>
          <w:tcPr>
            <w:tcW w:type="dxa" w:w="6060"/>
            <w:vAlign w:val="top"/>
            <w:tcMar>
              <w:top w:w="80" w:type="dxa"/>
              <w:start w:w="120" w:type="dxa"/>
              <w:bottom w:w="80" w:type="dxa"/>
              <w:end w:w="120" w:type="dxa"/>
            </w:tcMar>
          </w:tcPr>
          <w:p>
            <w:pPr>
              <w:spacing w:after="0"/>
            </w:pPr>
            <w:r>
              <w:rPr>
                <w:sz w:val="16"/>
              </w:rPr>
              <w:t>Allow authorised users to override an agent recommendation with a mandatory rationale; retain original recommendation and evidence.</w:t>
            </w:r>
          </w:p>
        </w:tc>
        <w:tc>
          <w:tcPr>
            <w:tcW w:type="dxa" w:w="800"/>
            <w:vAlign w:val="top"/>
            <w:tcMar>
              <w:top w:w="80" w:type="dxa"/>
              <w:start w:w="120" w:type="dxa"/>
              <w:bottom w:w="80" w:type="dxa"/>
              <w:end w:w="120" w:type="dxa"/>
            </w:tcMar>
          </w:tcPr>
          <w:p>
            <w:pPr>
              <w:spacing w:after="0"/>
            </w:pPr>
            <w:r>
              <w:rPr>
                <w:sz w:val="16"/>
              </w:rPr>
              <w:t>Must</w:t>
            </w:r>
          </w:p>
        </w:tc>
      </w:tr>
      <w:tr>
        <w:trPr>
          <w:cantSplit/>
        </w:trPr>
        <w:tc>
          <w:tcPr>
            <w:tcW w:type="dxa" w:w="850"/>
            <w:vAlign w:val="top"/>
            <w:tcMar>
              <w:top w:w="80" w:type="dxa"/>
              <w:start w:w="120" w:type="dxa"/>
              <w:bottom w:w="80" w:type="dxa"/>
              <w:end w:w="120" w:type="dxa"/>
            </w:tcMar>
          </w:tcPr>
          <w:p>
            <w:pPr>
              <w:spacing w:after="0"/>
            </w:pPr>
            <w:r>
              <w:rPr>
                <w:sz w:val="16"/>
              </w:rPr>
              <w:t>FR-23</w:t>
            </w:r>
          </w:p>
        </w:tc>
        <w:tc>
          <w:tcPr>
            <w:tcW w:type="dxa" w:w="1650"/>
            <w:vAlign w:val="top"/>
            <w:tcMar>
              <w:top w:w="80" w:type="dxa"/>
              <w:start w:w="120" w:type="dxa"/>
              <w:bottom w:w="80" w:type="dxa"/>
              <w:end w:w="120" w:type="dxa"/>
            </w:tcMar>
          </w:tcPr>
          <w:p>
            <w:pPr>
              <w:spacing w:after="0"/>
            </w:pPr>
            <w:r>
              <w:rPr>
                <w:sz w:val="16"/>
              </w:rPr>
              <w:t>Data-quality flags</w:t>
            </w:r>
          </w:p>
        </w:tc>
        <w:tc>
          <w:tcPr>
            <w:tcW w:type="dxa" w:w="6060"/>
            <w:vAlign w:val="top"/>
            <w:tcMar>
              <w:top w:w="80" w:type="dxa"/>
              <w:start w:w="120" w:type="dxa"/>
              <w:bottom w:w="80" w:type="dxa"/>
              <w:end w:w="120" w:type="dxa"/>
            </w:tcMar>
          </w:tcPr>
          <w:p>
            <w:pPr>
              <w:spacing w:after="0"/>
            </w:pPr>
            <w:r>
              <w:rPr>
                <w:sz w:val="16"/>
              </w:rPr>
              <w:t>Identify missing, stale, conflicting or insufficient inputs and limit conclusions accordingly.</w:t>
            </w:r>
          </w:p>
        </w:tc>
        <w:tc>
          <w:tcPr>
            <w:tcW w:type="dxa" w:w="800"/>
            <w:vAlign w:val="top"/>
            <w:tcMar>
              <w:top w:w="80" w:type="dxa"/>
              <w:start w:w="120" w:type="dxa"/>
              <w:bottom w:w="80" w:type="dxa"/>
              <w:end w:w="120" w:type="dxa"/>
            </w:tcMar>
          </w:tcPr>
          <w:p>
            <w:pPr>
              <w:spacing w:after="0"/>
            </w:pPr>
            <w:r>
              <w:rPr>
                <w:sz w:val="16"/>
              </w:rPr>
              <w:t>Must</w:t>
            </w:r>
          </w:p>
        </w:tc>
      </w:tr>
    </w:tbl>
    <w:p>
      <w:pPr>
        <w:pageBreakBefore/>
      </w:pPr>
    </w:p>
    <w:tbl>
      <w:tblPr>
        <w:tblStyle w:val="TableGrid"/>
        <w:tblW w:type="dxa" w:w="9360"/>
        <w:jc w:val="left"/>
        <w:tblLayout w:type="fixed"/>
        <w:tblLook w:firstColumn="1" w:firstRow="1" w:lastColumn="0" w:lastRow="0" w:noHBand="0" w:noVBand="1" w:val="04A0"/>
        <w:tblInd w:w="120" w:type="dxa"/>
      </w:tblPr>
      <w:tblGrid>
        <w:gridCol w:w="850"/>
        <w:gridCol w:w="1650"/>
        <w:gridCol w:w="6060"/>
        <w:gridCol w:w="800"/>
      </w:tblGrid>
      <w:tr>
        <w:trPr>
          <w:tblHeader w:val="true"/>
        </w:trPr>
        <w:tc>
          <w:tcPr>
            <w:tcW w:type="dxa" w:w="850"/>
            <w:shd w:fill="E8EEF5"/>
            <w:vAlign w:val="center"/>
            <w:tcMar>
              <w:top w:w="80" w:type="dxa"/>
              <w:start w:w="120" w:type="dxa"/>
              <w:bottom w:w="80" w:type="dxa"/>
              <w:end w:w="120" w:type="dxa"/>
            </w:tcMar>
          </w:tcPr>
          <w:p>
            <w:r>
              <w:rPr>
                <w:b/>
                <w:color w:val="17365D"/>
                <w:sz w:val="16"/>
              </w:rPr>
              <w:t>ID</w:t>
            </w:r>
          </w:p>
        </w:tc>
        <w:tc>
          <w:tcPr>
            <w:tcW w:type="dxa" w:w="1650"/>
            <w:shd w:fill="E8EEF5"/>
            <w:vAlign w:val="center"/>
            <w:tcMar>
              <w:top w:w="80" w:type="dxa"/>
              <w:start w:w="120" w:type="dxa"/>
              <w:bottom w:w="80" w:type="dxa"/>
              <w:end w:w="120" w:type="dxa"/>
            </w:tcMar>
          </w:tcPr>
          <w:p>
            <w:r>
              <w:rPr>
                <w:b/>
                <w:color w:val="17365D"/>
                <w:sz w:val="16"/>
              </w:rPr>
              <w:t>Capability</w:t>
            </w:r>
          </w:p>
        </w:tc>
        <w:tc>
          <w:tcPr>
            <w:tcW w:type="dxa" w:w="6060"/>
            <w:shd w:fill="E8EEF5"/>
            <w:vAlign w:val="center"/>
            <w:tcMar>
              <w:top w:w="80" w:type="dxa"/>
              <w:start w:w="120" w:type="dxa"/>
              <w:bottom w:w="80" w:type="dxa"/>
              <w:end w:w="120" w:type="dxa"/>
            </w:tcMar>
          </w:tcPr>
          <w:p>
            <w:r>
              <w:rPr>
                <w:b/>
                <w:color w:val="17365D"/>
                <w:sz w:val="16"/>
              </w:rPr>
              <w:t>Requirement</w:t>
            </w:r>
          </w:p>
        </w:tc>
        <w:tc>
          <w:tcPr>
            <w:tcW w:type="dxa" w:w="800"/>
            <w:shd w:fill="E8EEF5"/>
            <w:vAlign w:val="center"/>
            <w:tcMar>
              <w:top w:w="80" w:type="dxa"/>
              <w:start w:w="120" w:type="dxa"/>
              <w:bottom w:w="80" w:type="dxa"/>
              <w:end w:w="120" w:type="dxa"/>
            </w:tcMar>
          </w:tcPr>
          <w:p>
            <w:r>
              <w:rPr>
                <w:b/>
                <w:color w:val="17365D"/>
                <w:sz w:val="16"/>
              </w:rPr>
              <w:t>Priority</w:t>
            </w:r>
          </w:p>
        </w:tc>
      </w:tr>
      <w:tr>
        <w:trPr>
          <w:cantSplit/>
        </w:trPr>
        <w:tc>
          <w:tcPr>
            <w:tcW w:type="dxa" w:w="850"/>
            <w:vAlign w:val="top"/>
            <w:tcMar>
              <w:top w:w="80" w:type="dxa"/>
              <w:start w:w="120" w:type="dxa"/>
              <w:bottom w:w="80" w:type="dxa"/>
              <w:end w:w="120" w:type="dxa"/>
            </w:tcMar>
          </w:tcPr>
          <w:p>
            <w:pPr>
              <w:spacing w:after="0"/>
            </w:pPr>
            <w:r>
              <w:rPr>
                <w:sz w:val="16"/>
              </w:rPr>
              <w:t>FR-24</w:t>
            </w:r>
          </w:p>
        </w:tc>
        <w:tc>
          <w:tcPr>
            <w:tcW w:type="dxa" w:w="1650"/>
            <w:vAlign w:val="top"/>
            <w:tcMar>
              <w:top w:w="80" w:type="dxa"/>
              <w:start w:w="120" w:type="dxa"/>
              <w:bottom w:w="80" w:type="dxa"/>
              <w:end w:w="120" w:type="dxa"/>
            </w:tcMar>
          </w:tcPr>
          <w:p>
            <w:pPr>
              <w:spacing w:after="0"/>
            </w:pPr>
            <w:r>
              <w:rPr>
                <w:sz w:val="16"/>
              </w:rPr>
              <w:t>Export</w:t>
            </w:r>
          </w:p>
        </w:tc>
        <w:tc>
          <w:tcPr>
            <w:tcW w:type="dxa" w:w="6060"/>
            <w:vAlign w:val="top"/>
            <w:tcMar>
              <w:top w:w="80" w:type="dxa"/>
              <w:start w:w="120" w:type="dxa"/>
              <w:bottom w:w="80" w:type="dxa"/>
              <w:end w:w="120" w:type="dxa"/>
            </w:tcMar>
          </w:tcPr>
          <w:p>
            <w:pPr>
              <w:spacing w:after="0"/>
            </w:pPr>
            <w:r>
              <w:rPr>
                <w:sz w:val="16"/>
              </w:rPr>
              <w:t>Export a sourcing summary, evaluation, award record or vendor-performance review in a reviewable format.</w:t>
            </w:r>
          </w:p>
        </w:tc>
        <w:tc>
          <w:tcPr>
            <w:tcW w:type="dxa" w:w="800"/>
            <w:vAlign w:val="top"/>
            <w:tcMar>
              <w:top w:w="80" w:type="dxa"/>
              <w:start w:w="120" w:type="dxa"/>
              <w:bottom w:w="80" w:type="dxa"/>
              <w:end w:w="120" w:type="dxa"/>
            </w:tcMar>
          </w:tcPr>
          <w:p>
            <w:pPr>
              <w:spacing w:after="0"/>
            </w:pPr>
            <w:r>
              <w:rPr>
                <w:sz w:val="16"/>
              </w:rPr>
              <w:t>Could</w:t>
            </w:r>
          </w:p>
        </w:tc>
      </w:tr>
      <w:tr>
        <w:trPr>
          <w:cantSplit/>
        </w:trPr>
        <w:tc>
          <w:tcPr>
            <w:tcW w:type="dxa" w:w="850"/>
            <w:vAlign w:val="top"/>
            <w:tcMar>
              <w:top w:w="80" w:type="dxa"/>
              <w:start w:w="120" w:type="dxa"/>
              <w:bottom w:w="80" w:type="dxa"/>
              <w:end w:w="120" w:type="dxa"/>
            </w:tcMar>
          </w:tcPr>
          <w:p>
            <w:pPr>
              <w:spacing w:after="0"/>
            </w:pPr>
            <w:r>
              <w:rPr>
                <w:sz w:val="16"/>
              </w:rPr>
              <w:t>FR-25</w:t>
            </w:r>
          </w:p>
        </w:tc>
        <w:tc>
          <w:tcPr>
            <w:tcW w:type="dxa" w:w="1650"/>
            <w:vAlign w:val="top"/>
            <w:tcMar>
              <w:top w:w="80" w:type="dxa"/>
              <w:start w:w="120" w:type="dxa"/>
              <w:bottom w:w="80" w:type="dxa"/>
              <w:end w:w="120" w:type="dxa"/>
            </w:tcMar>
          </w:tcPr>
          <w:p>
            <w:pPr>
              <w:spacing w:after="0"/>
            </w:pPr>
            <w:r>
              <w:rPr>
                <w:sz w:val="16"/>
              </w:rPr>
              <w:t>Authorised mailbox connection</w:t>
            </w:r>
          </w:p>
        </w:tc>
        <w:tc>
          <w:tcPr>
            <w:tcW w:type="dxa" w:w="6060"/>
            <w:vAlign w:val="top"/>
            <w:tcMar>
              <w:top w:w="80" w:type="dxa"/>
              <w:start w:w="120" w:type="dxa"/>
              <w:bottom w:w="80" w:type="dxa"/>
              <w:end w:w="120" w:type="dxa"/>
            </w:tcMar>
          </w:tcPr>
          <w:p>
            <w:pPr>
              <w:spacing w:after="0"/>
            </w:pPr>
            <w:r>
              <w:rPr>
                <w:sz w:val="16"/>
              </w:rPr>
              <w:t>Connect only to explicitly authorised Gmail or Microsoft 365 mailboxes, accounts, labels or folders using approved authentication and least-privilege permissions.</w:t>
            </w:r>
          </w:p>
        </w:tc>
        <w:tc>
          <w:tcPr>
            <w:tcW w:type="dxa" w:w="800"/>
            <w:vAlign w:val="top"/>
            <w:tcMar>
              <w:top w:w="80" w:type="dxa"/>
              <w:start w:w="120" w:type="dxa"/>
              <w:bottom w:w="80" w:type="dxa"/>
              <w:end w:w="120" w:type="dxa"/>
            </w:tcMar>
          </w:tcPr>
          <w:p>
            <w:pPr>
              <w:spacing w:after="0"/>
            </w:pPr>
            <w:r>
              <w:rPr>
                <w:sz w:val="16"/>
              </w:rPr>
              <w:t>Must</w:t>
            </w:r>
          </w:p>
        </w:tc>
      </w:tr>
      <w:tr>
        <w:trPr>
          <w:cantSplit/>
        </w:trPr>
        <w:tc>
          <w:tcPr>
            <w:tcW w:type="dxa" w:w="850"/>
            <w:vAlign w:val="top"/>
            <w:tcMar>
              <w:top w:w="80" w:type="dxa"/>
              <w:start w:w="120" w:type="dxa"/>
              <w:bottom w:w="80" w:type="dxa"/>
              <w:end w:w="120" w:type="dxa"/>
            </w:tcMar>
          </w:tcPr>
          <w:p>
            <w:pPr>
              <w:spacing w:after="0"/>
            </w:pPr>
            <w:r>
              <w:rPr>
                <w:sz w:val="16"/>
              </w:rPr>
              <w:t>FR-26</w:t>
            </w:r>
          </w:p>
        </w:tc>
        <w:tc>
          <w:tcPr>
            <w:tcW w:type="dxa" w:w="1650"/>
            <w:vAlign w:val="top"/>
            <w:tcMar>
              <w:top w:w="80" w:type="dxa"/>
              <w:start w:w="120" w:type="dxa"/>
              <w:bottom w:w="80" w:type="dxa"/>
              <w:end w:w="120" w:type="dxa"/>
            </w:tcMar>
          </w:tcPr>
          <w:p>
            <w:pPr>
              <w:spacing w:after="0"/>
            </w:pPr>
            <w:r>
              <w:rPr>
                <w:sz w:val="16"/>
              </w:rPr>
              <w:t>Email relevance filtering</w:t>
            </w:r>
          </w:p>
        </w:tc>
        <w:tc>
          <w:tcPr>
            <w:tcW w:type="dxa" w:w="6060"/>
            <w:vAlign w:val="top"/>
            <w:tcMar>
              <w:top w:w="80" w:type="dxa"/>
              <w:start w:w="120" w:type="dxa"/>
              <w:bottom w:w="80" w:type="dxa"/>
              <w:end w:w="120" w:type="dxa"/>
            </w:tcMar>
          </w:tcPr>
          <w:p>
            <w:pPr>
              <w:spacing w:after="0"/>
            </w:pPr>
            <w:r>
              <w:rPr>
                <w:sz w:val="16"/>
              </w:rPr>
              <w:t>Classify each accessible message as Confirmed Relevant, Potentially Relevant or Not Relevant using layered permission, exclusion, identity, reference, thread, attachment, content and confidence tests.</w:t>
            </w:r>
          </w:p>
        </w:tc>
        <w:tc>
          <w:tcPr>
            <w:tcW w:type="dxa" w:w="800"/>
            <w:vAlign w:val="top"/>
            <w:tcMar>
              <w:top w:w="80" w:type="dxa"/>
              <w:start w:w="120" w:type="dxa"/>
              <w:bottom w:w="80" w:type="dxa"/>
              <w:end w:w="120" w:type="dxa"/>
            </w:tcMar>
          </w:tcPr>
          <w:p>
            <w:pPr>
              <w:spacing w:after="0"/>
            </w:pPr>
            <w:r>
              <w:rPr>
                <w:sz w:val="16"/>
              </w:rPr>
              <w:t>Must</w:t>
            </w:r>
          </w:p>
        </w:tc>
      </w:tr>
      <w:tr>
        <w:trPr>
          <w:cantSplit/>
        </w:trPr>
        <w:tc>
          <w:tcPr>
            <w:tcW w:type="dxa" w:w="850"/>
            <w:vAlign w:val="top"/>
            <w:tcMar>
              <w:top w:w="80" w:type="dxa"/>
              <w:start w:w="120" w:type="dxa"/>
              <w:bottom w:w="80" w:type="dxa"/>
              <w:end w:w="120" w:type="dxa"/>
            </w:tcMar>
          </w:tcPr>
          <w:p>
            <w:pPr>
              <w:spacing w:after="0"/>
            </w:pPr>
            <w:r>
              <w:rPr>
                <w:sz w:val="16"/>
              </w:rPr>
              <w:t>FR-27</w:t>
            </w:r>
          </w:p>
        </w:tc>
        <w:tc>
          <w:tcPr>
            <w:tcW w:type="dxa" w:w="1650"/>
            <w:vAlign w:val="top"/>
            <w:tcMar>
              <w:top w:w="80" w:type="dxa"/>
              <w:start w:w="120" w:type="dxa"/>
              <w:bottom w:w="80" w:type="dxa"/>
              <w:end w:w="120" w:type="dxa"/>
            </w:tcMar>
          </w:tcPr>
          <w:p>
            <w:pPr>
              <w:spacing w:after="0"/>
            </w:pPr>
            <w:r>
              <w:rPr>
                <w:sz w:val="16"/>
              </w:rPr>
              <w:t>Procurement-object matching</w:t>
            </w:r>
          </w:p>
        </w:tc>
        <w:tc>
          <w:tcPr>
            <w:tcW w:type="dxa" w:w="6060"/>
            <w:vAlign w:val="top"/>
            <w:tcMar>
              <w:top w:w="80" w:type="dxa"/>
              <w:start w:w="120" w:type="dxa"/>
              <w:bottom w:w="80" w:type="dxa"/>
              <w:end w:w="120" w:type="dxa"/>
            </w:tcMar>
          </w:tcPr>
          <w:p>
            <w:pPr>
              <w:spacing w:after="0"/>
            </w:pPr>
            <w:r>
              <w:rPr>
                <w:sz w:val="16"/>
              </w:rPr>
              <w:t>Associate a confirmed email with the correct sourcing event, vendor, contract, bid, incident or corrective action and display the evidence supporting the match.</w:t>
            </w:r>
          </w:p>
        </w:tc>
        <w:tc>
          <w:tcPr>
            <w:tcW w:type="dxa" w:w="800"/>
            <w:vAlign w:val="top"/>
            <w:tcMar>
              <w:top w:w="80" w:type="dxa"/>
              <w:start w:w="120" w:type="dxa"/>
              <w:bottom w:w="80" w:type="dxa"/>
              <w:end w:w="120" w:type="dxa"/>
            </w:tcMar>
          </w:tcPr>
          <w:p>
            <w:pPr>
              <w:spacing w:after="0"/>
            </w:pPr>
            <w:r>
              <w:rPr>
                <w:sz w:val="16"/>
              </w:rPr>
              <w:t>Must</w:t>
            </w:r>
          </w:p>
        </w:tc>
      </w:tr>
      <w:tr>
        <w:trPr>
          <w:cantSplit/>
        </w:trPr>
        <w:tc>
          <w:tcPr>
            <w:tcW w:type="dxa" w:w="850"/>
            <w:vAlign w:val="top"/>
            <w:tcMar>
              <w:top w:w="80" w:type="dxa"/>
              <w:start w:w="120" w:type="dxa"/>
              <w:bottom w:w="80" w:type="dxa"/>
              <w:end w:w="120" w:type="dxa"/>
            </w:tcMar>
          </w:tcPr>
          <w:p>
            <w:pPr>
              <w:spacing w:after="0"/>
            </w:pPr>
            <w:r>
              <w:rPr>
                <w:sz w:val="16"/>
              </w:rPr>
              <w:t>FR-28</w:t>
            </w:r>
          </w:p>
        </w:tc>
        <w:tc>
          <w:tcPr>
            <w:tcW w:type="dxa" w:w="1650"/>
            <w:vAlign w:val="top"/>
            <w:tcMar>
              <w:top w:w="80" w:type="dxa"/>
              <w:start w:w="120" w:type="dxa"/>
              <w:bottom w:w="80" w:type="dxa"/>
              <w:end w:w="120" w:type="dxa"/>
            </w:tcMar>
          </w:tcPr>
          <w:p>
            <w:pPr>
              <w:spacing w:after="0"/>
            </w:pPr>
            <w:r>
              <w:rPr>
                <w:sz w:val="16"/>
              </w:rPr>
              <w:t>Uncertain-email review</w:t>
            </w:r>
          </w:p>
        </w:tc>
        <w:tc>
          <w:tcPr>
            <w:tcW w:type="dxa" w:w="6060"/>
            <w:vAlign w:val="top"/>
            <w:tcMar>
              <w:top w:w="80" w:type="dxa"/>
              <w:start w:w="120" w:type="dxa"/>
              <w:bottom w:w="80" w:type="dxa"/>
              <w:end w:w="120" w:type="dxa"/>
            </w:tcMar>
          </w:tcPr>
          <w:p>
            <w:pPr>
              <w:spacing w:after="0"/>
            </w:pPr>
            <w:r>
              <w:rPr>
                <w:sz w:val="16"/>
              </w:rPr>
              <w:t>Route potentially relevant emails to human review; their contents must not affect bids, profiles, scores or recommendations until confirmed.</w:t>
            </w:r>
          </w:p>
        </w:tc>
        <w:tc>
          <w:tcPr>
            <w:tcW w:type="dxa" w:w="800"/>
            <w:vAlign w:val="top"/>
            <w:tcMar>
              <w:top w:w="80" w:type="dxa"/>
              <w:start w:w="120" w:type="dxa"/>
              <w:bottom w:w="80" w:type="dxa"/>
              <w:end w:w="120" w:type="dxa"/>
            </w:tcMar>
          </w:tcPr>
          <w:p>
            <w:pPr>
              <w:spacing w:after="0"/>
            </w:pPr>
            <w:r>
              <w:rPr>
                <w:sz w:val="16"/>
              </w:rPr>
              <w:t>Must</w:t>
            </w:r>
          </w:p>
        </w:tc>
      </w:tr>
      <w:tr>
        <w:trPr>
          <w:cantSplit/>
        </w:trPr>
        <w:tc>
          <w:tcPr>
            <w:tcW w:type="dxa" w:w="850"/>
            <w:vAlign w:val="top"/>
            <w:tcMar>
              <w:top w:w="80" w:type="dxa"/>
              <w:start w:w="120" w:type="dxa"/>
              <w:bottom w:w="80" w:type="dxa"/>
              <w:end w:w="120" w:type="dxa"/>
            </w:tcMar>
          </w:tcPr>
          <w:p>
            <w:pPr>
              <w:spacing w:after="0"/>
            </w:pPr>
            <w:r>
              <w:rPr>
                <w:sz w:val="16"/>
              </w:rPr>
              <w:t>FR-29</w:t>
            </w:r>
          </w:p>
        </w:tc>
        <w:tc>
          <w:tcPr>
            <w:tcW w:type="dxa" w:w="1650"/>
            <w:vAlign w:val="top"/>
            <w:tcMar>
              <w:top w:w="80" w:type="dxa"/>
              <w:start w:w="120" w:type="dxa"/>
              <w:bottom w:w="80" w:type="dxa"/>
              <w:end w:w="120" w:type="dxa"/>
            </w:tcMar>
          </w:tcPr>
          <w:p>
            <w:pPr>
              <w:spacing w:after="0"/>
            </w:pPr>
            <w:r>
              <w:rPr>
                <w:sz w:val="16"/>
              </w:rPr>
              <w:t>Attachment and version control</w:t>
            </w:r>
          </w:p>
        </w:tc>
        <w:tc>
          <w:tcPr>
            <w:tcW w:type="dxa" w:w="6060"/>
            <w:vAlign w:val="top"/>
            <w:tcMar>
              <w:top w:w="80" w:type="dxa"/>
              <w:start w:w="120" w:type="dxa"/>
              <w:bottom w:w="80" w:type="dxa"/>
              <w:end w:w="120" w:type="dxa"/>
            </w:tcMar>
          </w:tcPr>
          <w:p>
            <w:pPr>
              <w:spacing w:after="0"/>
            </w:pPr>
            <w:r>
              <w:rPr>
                <w:sz w:val="16"/>
              </w:rPr>
              <w:t>Assess attachments independently, extract supported content, detect revised proposals/rate cards and preserve original files plus submission version history.</w:t>
            </w:r>
          </w:p>
        </w:tc>
        <w:tc>
          <w:tcPr>
            <w:tcW w:type="dxa" w:w="800"/>
            <w:vAlign w:val="top"/>
            <w:tcMar>
              <w:top w:w="80" w:type="dxa"/>
              <w:start w:w="120" w:type="dxa"/>
              <w:bottom w:w="80" w:type="dxa"/>
              <w:end w:w="120" w:type="dxa"/>
            </w:tcMar>
          </w:tcPr>
          <w:p>
            <w:pPr>
              <w:spacing w:after="0"/>
            </w:pPr>
            <w:r>
              <w:rPr>
                <w:sz w:val="16"/>
              </w:rPr>
              <w:t>Must</w:t>
            </w:r>
          </w:p>
        </w:tc>
      </w:tr>
      <w:tr>
        <w:trPr>
          <w:cantSplit/>
        </w:trPr>
        <w:tc>
          <w:tcPr>
            <w:tcW w:type="dxa" w:w="850"/>
            <w:vAlign w:val="top"/>
            <w:tcMar>
              <w:top w:w="80" w:type="dxa"/>
              <w:start w:w="120" w:type="dxa"/>
              <w:bottom w:w="80" w:type="dxa"/>
              <w:end w:w="120" w:type="dxa"/>
            </w:tcMar>
          </w:tcPr>
          <w:p>
            <w:pPr>
              <w:spacing w:after="0"/>
            </w:pPr>
            <w:r>
              <w:rPr>
                <w:sz w:val="16"/>
              </w:rPr>
              <w:t>FR-30</w:t>
            </w:r>
          </w:p>
        </w:tc>
        <w:tc>
          <w:tcPr>
            <w:tcW w:type="dxa" w:w="1650"/>
            <w:vAlign w:val="top"/>
            <w:tcMar>
              <w:top w:w="80" w:type="dxa"/>
              <w:start w:w="120" w:type="dxa"/>
              <w:bottom w:w="80" w:type="dxa"/>
              <w:end w:w="120" w:type="dxa"/>
            </w:tcMar>
          </w:tcPr>
          <w:p>
            <w:pPr>
              <w:spacing w:after="0"/>
            </w:pPr>
            <w:r>
              <w:rPr>
                <w:sz w:val="16"/>
              </w:rPr>
              <w:t>Communication extraction</w:t>
            </w:r>
          </w:p>
        </w:tc>
        <w:tc>
          <w:tcPr>
            <w:tcW w:type="dxa" w:w="6060"/>
            <w:vAlign w:val="top"/>
            <w:tcMar>
              <w:top w:w="80" w:type="dxa"/>
              <w:start w:w="120" w:type="dxa"/>
              <w:bottom w:w="80" w:type="dxa"/>
              <w:end w:w="120" w:type="dxa"/>
            </w:tcMar>
          </w:tcPr>
          <w:p>
            <w:pPr>
              <w:spacing w:after="0"/>
            </w:pPr>
            <w:r>
              <w:rPr>
                <w:sz w:val="16"/>
              </w:rPr>
              <w:t>Extract supported requirements, questions, deadlines, commitments, exceptions, approvals, incidents and corrective-action statements while retaining the email as authoritative evidence.</w:t>
            </w:r>
          </w:p>
        </w:tc>
        <w:tc>
          <w:tcPr>
            <w:tcW w:type="dxa" w:w="800"/>
            <w:vAlign w:val="top"/>
            <w:tcMar>
              <w:top w:w="80" w:type="dxa"/>
              <w:start w:w="120" w:type="dxa"/>
              <w:bottom w:w="80" w:type="dxa"/>
              <w:end w:w="120" w:type="dxa"/>
            </w:tcMar>
          </w:tcPr>
          <w:p>
            <w:pPr>
              <w:spacing w:after="0"/>
            </w:pPr>
            <w:r>
              <w:rPr>
                <w:sz w:val="16"/>
              </w:rPr>
              <w:t>Must</w:t>
            </w:r>
          </w:p>
        </w:tc>
      </w:tr>
      <w:tr>
        <w:trPr>
          <w:cantSplit/>
        </w:trPr>
        <w:tc>
          <w:tcPr>
            <w:tcW w:type="dxa" w:w="850"/>
            <w:vAlign w:val="top"/>
            <w:tcMar>
              <w:top w:w="80" w:type="dxa"/>
              <w:start w:w="120" w:type="dxa"/>
              <w:bottom w:w="80" w:type="dxa"/>
              <w:end w:w="120" w:type="dxa"/>
            </w:tcMar>
          </w:tcPr>
          <w:p>
            <w:pPr>
              <w:spacing w:after="0"/>
            </w:pPr>
            <w:r>
              <w:rPr>
                <w:sz w:val="16"/>
              </w:rPr>
              <w:t>FR-31</w:t>
            </w:r>
          </w:p>
        </w:tc>
        <w:tc>
          <w:tcPr>
            <w:tcW w:type="dxa" w:w="1650"/>
            <w:vAlign w:val="top"/>
            <w:tcMar>
              <w:top w:w="80" w:type="dxa"/>
              <w:start w:w="120" w:type="dxa"/>
              <w:bottom w:w="80" w:type="dxa"/>
              <w:end w:w="120" w:type="dxa"/>
            </w:tcMar>
          </w:tcPr>
          <w:p>
            <w:pPr>
              <w:spacing w:after="0"/>
            </w:pPr>
            <w:r>
              <w:rPr>
                <w:sz w:val="16"/>
              </w:rPr>
              <w:t>Outgoing supplier drafts</w:t>
            </w:r>
          </w:p>
        </w:tc>
        <w:tc>
          <w:tcPr>
            <w:tcW w:type="dxa" w:w="6060"/>
            <w:vAlign w:val="top"/>
            <w:tcMar>
              <w:top w:w="80" w:type="dxa"/>
              <w:start w:w="120" w:type="dxa"/>
              <w:bottom w:w="80" w:type="dxa"/>
              <w:end w:w="120" w:type="dxa"/>
            </w:tcMar>
          </w:tcPr>
          <w:p>
            <w:pPr>
              <w:spacing w:after="0"/>
            </w:pPr>
            <w:r>
              <w:rPr>
                <w:sz w:val="16"/>
              </w:rPr>
              <w:t>Draft invitations, clarifications, reminders, addenda, award notices and performance communications from governed workflow data.</w:t>
            </w:r>
          </w:p>
        </w:tc>
        <w:tc>
          <w:tcPr>
            <w:tcW w:type="dxa" w:w="800"/>
            <w:vAlign w:val="top"/>
            <w:tcMar>
              <w:top w:w="80" w:type="dxa"/>
              <w:start w:w="120" w:type="dxa"/>
              <w:bottom w:w="80" w:type="dxa"/>
              <w:end w:w="120" w:type="dxa"/>
            </w:tcMar>
          </w:tcPr>
          <w:p>
            <w:pPr>
              <w:spacing w:after="0"/>
            </w:pPr>
            <w:r>
              <w:rPr>
                <w:sz w:val="16"/>
              </w:rPr>
              <w:t>Must</w:t>
            </w:r>
          </w:p>
        </w:tc>
      </w:tr>
      <w:tr>
        <w:trPr>
          <w:cantSplit/>
        </w:trPr>
        <w:tc>
          <w:tcPr>
            <w:tcW w:type="dxa" w:w="850"/>
            <w:vAlign w:val="top"/>
            <w:tcMar>
              <w:top w:w="80" w:type="dxa"/>
              <w:start w:w="120" w:type="dxa"/>
              <w:bottom w:w="80" w:type="dxa"/>
              <w:end w:w="120" w:type="dxa"/>
            </w:tcMar>
          </w:tcPr>
          <w:p>
            <w:pPr>
              <w:spacing w:after="0"/>
            </w:pPr>
            <w:r>
              <w:rPr>
                <w:sz w:val="16"/>
              </w:rPr>
              <w:t>FR-32</w:t>
            </w:r>
          </w:p>
        </w:tc>
        <w:tc>
          <w:tcPr>
            <w:tcW w:type="dxa" w:w="1650"/>
            <w:vAlign w:val="top"/>
            <w:tcMar>
              <w:top w:w="80" w:type="dxa"/>
              <w:start w:w="120" w:type="dxa"/>
              <w:bottom w:w="80" w:type="dxa"/>
              <w:end w:w="120" w:type="dxa"/>
            </w:tcMar>
          </w:tcPr>
          <w:p>
            <w:pPr>
              <w:spacing w:after="0"/>
            </w:pPr>
            <w:r>
              <w:rPr>
                <w:sz w:val="16"/>
              </w:rPr>
              <w:t>Outbound approval and validation</w:t>
            </w:r>
          </w:p>
        </w:tc>
        <w:tc>
          <w:tcPr>
            <w:tcW w:type="dxa" w:w="6060"/>
            <w:vAlign w:val="top"/>
            <w:tcMar>
              <w:top w:w="80" w:type="dxa"/>
              <w:start w:w="120" w:type="dxa"/>
              <w:bottom w:w="80" w:type="dxa"/>
              <w:end w:w="120" w:type="dxa"/>
            </w:tcMar>
          </w:tcPr>
          <w:p>
            <w:pPr>
              <w:spacing w:after="0"/>
            </w:pPr>
            <w:r>
              <w:rPr>
                <w:sz w:val="16"/>
              </w:rPr>
              <w:t>Require human approval before sending and validate recipients, authorisation, attachment version, dates, commercial facts and cross-supplier confidentiality.</w:t>
            </w:r>
          </w:p>
        </w:tc>
        <w:tc>
          <w:tcPr>
            <w:tcW w:type="dxa" w:w="800"/>
            <w:vAlign w:val="top"/>
            <w:tcMar>
              <w:top w:w="80" w:type="dxa"/>
              <w:start w:w="120" w:type="dxa"/>
              <w:bottom w:w="80" w:type="dxa"/>
              <w:end w:w="120" w:type="dxa"/>
            </w:tcMar>
          </w:tcPr>
          <w:p>
            <w:pPr>
              <w:spacing w:after="0"/>
            </w:pPr>
            <w:r>
              <w:rPr>
                <w:sz w:val="16"/>
              </w:rPr>
              <w:t>Must</w:t>
            </w:r>
          </w:p>
        </w:tc>
      </w:tr>
      <w:tr>
        <w:trPr>
          <w:cantSplit/>
        </w:trPr>
        <w:tc>
          <w:tcPr>
            <w:tcW w:type="dxa" w:w="850"/>
            <w:vAlign w:val="top"/>
            <w:tcMar>
              <w:top w:w="80" w:type="dxa"/>
              <w:start w:w="120" w:type="dxa"/>
              <w:bottom w:w="80" w:type="dxa"/>
              <w:end w:w="120" w:type="dxa"/>
            </w:tcMar>
          </w:tcPr>
          <w:p>
            <w:pPr>
              <w:spacing w:after="0"/>
            </w:pPr>
            <w:r>
              <w:rPr>
                <w:sz w:val="16"/>
              </w:rPr>
              <w:t>FR-33</w:t>
            </w:r>
          </w:p>
        </w:tc>
        <w:tc>
          <w:tcPr>
            <w:tcW w:type="dxa" w:w="1650"/>
            <w:vAlign w:val="top"/>
            <w:tcMar>
              <w:top w:w="80" w:type="dxa"/>
              <w:start w:w="120" w:type="dxa"/>
              <w:bottom w:w="80" w:type="dxa"/>
              <w:end w:w="120" w:type="dxa"/>
            </w:tcMar>
          </w:tcPr>
          <w:p>
            <w:pPr>
              <w:spacing w:after="0"/>
            </w:pPr>
            <w:r>
              <w:rPr>
                <w:sz w:val="16"/>
              </w:rPr>
              <w:t>Fair clarification distribution</w:t>
            </w:r>
          </w:p>
        </w:tc>
        <w:tc>
          <w:tcPr>
            <w:tcW w:type="dxa" w:w="6060"/>
            <w:vAlign w:val="top"/>
            <w:tcMar>
              <w:top w:w="80" w:type="dxa"/>
              <w:start w:w="120" w:type="dxa"/>
              <w:bottom w:w="80" w:type="dxa"/>
              <w:end w:w="120" w:type="dxa"/>
            </w:tcMar>
          </w:tcPr>
          <w:p>
            <w:pPr>
              <w:spacing w:after="0"/>
            </w:pPr>
            <w:r>
              <w:rPr>
                <w:sz w:val="16"/>
              </w:rPr>
              <w:t>Identify clarifications that materially affect all bidders and recommend a consistent, anonymized communication to every participating supplier.</w:t>
            </w:r>
          </w:p>
        </w:tc>
        <w:tc>
          <w:tcPr>
            <w:tcW w:type="dxa" w:w="800"/>
            <w:vAlign w:val="top"/>
            <w:tcMar>
              <w:top w:w="80" w:type="dxa"/>
              <w:start w:w="120" w:type="dxa"/>
              <w:bottom w:w="80" w:type="dxa"/>
              <w:end w:w="120" w:type="dxa"/>
            </w:tcMar>
          </w:tcPr>
          <w:p>
            <w:pPr>
              <w:spacing w:after="0"/>
            </w:pPr>
            <w:r>
              <w:rPr>
                <w:sz w:val="16"/>
              </w:rPr>
              <w:t>Should</w:t>
            </w:r>
          </w:p>
        </w:tc>
      </w:tr>
      <w:tr>
        <w:trPr>
          <w:cantSplit/>
        </w:trPr>
        <w:tc>
          <w:tcPr>
            <w:tcW w:type="dxa" w:w="850"/>
            <w:vAlign w:val="top"/>
            <w:tcMar>
              <w:top w:w="80" w:type="dxa"/>
              <w:start w:w="120" w:type="dxa"/>
              <w:bottom w:w="80" w:type="dxa"/>
              <w:end w:w="120" w:type="dxa"/>
            </w:tcMar>
          </w:tcPr>
          <w:p>
            <w:pPr>
              <w:spacing w:after="0"/>
            </w:pPr>
            <w:r>
              <w:rPr>
                <w:sz w:val="16"/>
              </w:rPr>
              <w:t>FR-34</w:t>
            </w:r>
          </w:p>
        </w:tc>
        <w:tc>
          <w:tcPr>
            <w:tcW w:type="dxa" w:w="1650"/>
            <w:vAlign w:val="top"/>
            <w:tcMar>
              <w:top w:w="80" w:type="dxa"/>
              <w:start w:w="120" w:type="dxa"/>
              <w:bottom w:w="80" w:type="dxa"/>
              <w:end w:w="120" w:type="dxa"/>
            </w:tcMar>
          </w:tcPr>
          <w:p>
            <w:pPr>
              <w:spacing w:after="0"/>
            </w:pPr>
            <w:r>
              <w:rPr>
                <w:sz w:val="16"/>
              </w:rPr>
              <w:t>Communication audit</w:t>
            </w:r>
          </w:p>
        </w:tc>
        <w:tc>
          <w:tcPr>
            <w:tcW w:type="dxa" w:w="6060"/>
            <w:vAlign w:val="top"/>
            <w:tcMar>
              <w:top w:w="80" w:type="dxa"/>
              <w:start w:w="120" w:type="dxa"/>
              <w:bottom w:w="80" w:type="dxa"/>
              <w:end w:w="120" w:type="dxa"/>
            </w:tcMar>
          </w:tcPr>
          <w:p>
            <w:pPr>
              <w:spacing w:after="0"/>
            </w:pPr>
            <w:r>
              <w:rPr>
                <w:sz w:val="16"/>
              </w:rPr>
              <w:t>Retain inbound/outbound linkage, classification reasons, reviewer corrections, drafts, approvals, sent content, attachments, timestamps and delivery status.</w:t>
            </w:r>
          </w:p>
        </w:tc>
        <w:tc>
          <w:tcPr>
            <w:tcW w:type="dxa" w:w="800"/>
            <w:vAlign w:val="top"/>
            <w:tcMar>
              <w:top w:w="80" w:type="dxa"/>
              <w:start w:w="120" w:type="dxa"/>
              <w:bottom w:w="80" w:type="dxa"/>
              <w:end w:w="120" w:type="dxa"/>
            </w:tcMar>
          </w:tcPr>
          <w:p>
            <w:pPr>
              <w:spacing w:after="0"/>
            </w:pPr>
            <w:r>
              <w:rPr>
                <w:sz w:val="16"/>
              </w:rPr>
              <w:t>Must</w:t>
            </w:r>
          </w:p>
        </w:tc>
      </w:tr>
      <w:tr>
        <w:trPr>
          <w:cantSplit/>
          <w:cantSplit/>
        </w:trPr>
        <w:tc>
          <w:tcPr>
            <w:tcW w:type="dxa" w:w="850"/>
            <w:vAlign w:val="top"/>
            <w:tcMar>
              <w:top w:w="80" w:type="dxa"/>
              <w:start w:w="120" w:type="dxa"/>
              <w:bottom w:w="80" w:type="dxa"/>
              <w:end w:w="120" w:type="dxa"/>
            </w:tcMar>
          </w:tcPr>
          <w:p>
            <w:pPr/>
            <w:r>
              <w:rPr>
                <w:sz w:val="16"/>
              </w:rPr>
              <w:t>FR-35</w:t>
            </w:r>
          </w:p>
        </w:tc>
        <w:tc>
          <w:tcPr>
            <w:tcW w:type="dxa" w:w="1650"/>
            <w:vAlign w:val="top"/>
            <w:tcMar>
              <w:top w:w="80" w:type="dxa"/>
              <w:start w:w="120" w:type="dxa"/>
              <w:bottom w:w="80" w:type="dxa"/>
              <w:end w:w="120" w:type="dxa"/>
            </w:tcMar>
          </w:tcPr>
          <w:p>
            <w:pPr/>
            <w:r>
              <w:rPr>
                <w:sz w:val="16"/>
              </w:rPr>
              <w:t>Stateful workflow</w:t>
            </w:r>
          </w:p>
        </w:tc>
        <w:tc>
          <w:tcPr>
            <w:tcW w:type="dxa" w:w="6060"/>
            <w:vAlign w:val="top"/>
            <w:tcMar>
              <w:top w:w="80" w:type="dxa"/>
              <w:start w:w="120" w:type="dxa"/>
              <w:bottom w:w="80" w:type="dxa"/>
              <w:end w:w="120" w:type="dxa"/>
            </w:tcMar>
          </w:tcPr>
          <w:p>
            <w:pPr/>
            <w:r>
              <w:rPr>
                <w:sz w:val="16"/>
              </w:rPr>
              <w:t>Persist material user decisions and use them to change subsequent workflow state, available actions, evidence eligibility, calculations, recommendations and audit history.</w:t>
            </w:r>
          </w:p>
        </w:tc>
        <w:tc>
          <w:tcPr>
            <w:tcW w:type="dxa" w:w="800"/>
            <w:vAlign w:val="top"/>
            <w:tcMar>
              <w:top w:w="80" w:type="dxa"/>
              <w:start w:w="120" w:type="dxa"/>
              <w:bottom w:w="80" w:type="dxa"/>
              <w:end w:w="120" w:type="dxa"/>
            </w:tcMar>
          </w:tcPr>
          <w:p>
            <w:pPr/>
            <w:r>
              <w:rPr>
                <w:sz w:val="16"/>
              </w:rPr>
              <w:t>Must</w:t>
            </w:r>
          </w:p>
        </w:tc>
      </w:tr>
      <w:tr>
        <w:trPr>
          <w:cantSplit/>
          <w:cantSplit/>
          <w:cantSplit/>
        </w:trPr>
        <w:tc>
          <w:tcPr>
            <w:tcW w:type="dxa" w:w="850"/>
            <w:vAlign w:val="top"/>
            <w:tcMar>
              <w:top w:w="80" w:type="dxa"/>
              <w:start w:w="120" w:type="dxa"/>
              <w:bottom w:w="80" w:type="dxa"/>
              <w:end w:w="120" w:type="dxa"/>
            </w:tcMar>
          </w:tcPr>
          <w:p>
            <w:pPr/>
            <w:r>
              <w:rPr>
                <w:sz w:val="16"/>
              </w:rPr>
              <w:t>FR-36</w:t>
            </w:r>
          </w:p>
        </w:tc>
        <w:tc>
          <w:tcPr>
            <w:tcW w:type="dxa" w:w="1650"/>
            <w:vAlign w:val="top"/>
            <w:tcMar>
              <w:top w:w="80" w:type="dxa"/>
              <w:start w:w="120" w:type="dxa"/>
              <w:bottom w:w="80" w:type="dxa"/>
              <w:end w:w="120" w:type="dxa"/>
            </w:tcMar>
          </w:tcPr>
          <w:p>
            <w:pPr/>
            <w:r>
              <w:rPr>
                <w:sz w:val="16"/>
              </w:rPr>
              <w:t>Controlled scenario progression</w:t>
            </w:r>
          </w:p>
        </w:tc>
        <w:tc>
          <w:tcPr>
            <w:tcW w:type="dxa" w:w="6060"/>
            <w:vAlign w:val="top"/>
            <w:tcMar>
              <w:top w:w="80" w:type="dxa"/>
              <w:start w:w="120" w:type="dxa"/>
              <w:bottom w:w="80" w:type="dxa"/>
              <w:end w:w="120" w:type="dxa"/>
            </w:tcMar>
          </w:tcPr>
          <w:p>
            <w:pPr/>
            <w:r>
              <w:rPr>
                <w:sz w:val="16"/>
              </w:rPr>
              <w:t>Release synthetic documents, emails and structured data in defined stages only after the relevant user action or approved simulation control. Do not initialize the prototype with the completed end state.</w:t>
            </w:r>
          </w:p>
        </w:tc>
        <w:tc>
          <w:tcPr>
            <w:tcW w:type="dxa" w:w="800"/>
            <w:vAlign w:val="top"/>
            <w:tcMar>
              <w:top w:w="80" w:type="dxa"/>
              <w:start w:w="120" w:type="dxa"/>
              <w:bottom w:w="80" w:type="dxa"/>
              <w:end w:w="120" w:type="dxa"/>
            </w:tcMar>
          </w:tcPr>
          <w:p>
            <w:pPr/>
            <w:r>
              <w:rPr>
                <w:sz w:val="16"/>
              </w:rPr>
              <w:t>Must</w:t>
            </w:r>
          </w:p>
        </w:tc>
      </w:tr>
      <w:tr>
        <w:trPr>
          <w:cantSplit/>
          <w:cantSplit/>
          <w:cantSplit/>
          <w:cantSplit/>
        </w:trPr>
        <w:tc>
          <w:tcPr>
            <w:tcW w:type="dxa" w:w="850"/>
            <w:vAlign w:val="top"/>
            <w:tcMar>
              <w:top w:w="80" w:type="dxa"/>
              <w:start w:w="120" w:type="dxa"/>
              <w:bottom w:w="80" w:type="dxa"/>
              <w:end w:w="120" w:type="dxa"/>
            </w:tcMar>
          </w:tcPr>
          <w:p>
            <w:pPr/>
            <w:r>
              <w:rPr>
                <w:sz w:val="16"/>
              </w:rPr>
              <w:t>FR-37</w:t>
            </w:r>
          </w:p>
        </w:tc>
        <w:tc>
          <w:tcPr>
            <w:tcW w:type="dxa" w:w="1650"/>
            <w:vAlign w:val="top"/>
            <w:tcMar>
              <w:top w:w="80" w:type="dxa"/>
              <w:start w:w="120" w:type="dxa"/>
              <w:bottom w:w="80" w:type="dxa"/>
              <w:end w:w="120" w:type="dxa"/>
            </w:tcMar>
          </w:tcPr>
          <w:p>
            <w:pPr/>
            <w:r>
              <w:rPr>
                <w:sz w:val="16"/>
              </w:rPr>
              <w:t>Scenario replay</w:t>
            </w:r>
          </w:p>
        </w:tc>
        <w:tc>
          <w:tcPr>
            <w:tcW w:type="dxa" w:w="6060"/>
            <w:vAlign w:val="top"/>
            <w:tcMar>
              <w:top w:w="80" w:type="dxa"/>
              <w:start w:w="120" w:type="dxa"/>
              <w:bottom w:w="80" w:type="dxa"/>
              <w:end w:w="120" w:type="dxa"/>
            </w:tcMar>
          </w:tcPr>
          <w:p>
            <w:pPr/>
            <w:r>
              <w:rPr>
                <w:sz w:val="16"/>
              </w:rPr>
              <w:t>Allow the demonstration scenario to be reset to its defined starting state and replayed consistently, while preserving the configured scenario definition and test data.</w:t>
            </w:r>
          </w:p>
        </w:tc>
        <w:tc>
          <w:tcPr>
            <w:tcW w:type="dxa" w:w="800"/>
            <w:vAlign w:val="top"/>
            <w:tcMar>
              <w:top w:w="80" w:type="dxa"/>
              <w:start w:w="120" w:type="dxa"/>
              <w:bottom w:w="80" w:type="dxa"/>
              <w:end w:w="120" w:type="dxa"/>
            </w:tcMar>
          </w:tcPr>
          <w:p>
            <w:pPr/>
            <w:r>
              <w:rPr>
                <w:sz w:val="16"/>
              </w:rPr>
              <w:t>Should</w:t>
            </w:r>
          </w:p>
        </w:tc>
      </w:tr>
      <w:tr>
        <w:trPr>
          <w:cantSplit/>
          <w:cantSplit/>
          <w:cantSplit/>
          <w:cantSplit/>
        </w:trPr>
        <w:tc>
          <w:tcPr>
            <w:tcW w:type="dxa" w:w="850"/>
            <w:vAlign w:val="top"/>
            <w:tcMar>
              <w:top w:w="80" w:type="dxa"/>
              <w:start w:w="120" w:type="dxa"/>
              <w:bottom w:w="80" w:type="dxa"/>
              <w:end w:w="120" w:type="dxa"/>
            </w:tcMar>
          </w:tcPr>
          <w:p>
            <w:pPr/>
            <w:r>
              <w:rPr>
                <w:sz w:val="16"/>
              </w:rPr>
              <w:t>FR-38</w:t>
            </w:r>
          </w:p>
        </w:tc>
        <w:tc>
          <w:tcPr>
            <w:tcW w:type="dxa" w:w="1650"/>
            <w:vAlign w:val="top"/>
            <w:tcMar>
              <w:top w:w="80" w:type="dxa"/>
              <w:start w:w="120" w:type="dxa"/>
              <w:bottom w:w="80" w:type="dxa"/>
              <w:end w:w="120" w:type="dxa"/>
            </w:tcMar>
          </w:tcPr>
          <w:p>
            <w:pPr/>
            <w:r>
              <w:rPr>
                <w:sz w:val="16"/>
              </w:rPr>
              <w:t>Language and locale selection</w:t>
            </w:r>
          </w:p>
        </w:tc>
        <w:tc>
          <w:tcPr>
            <w:tcW w:type="dxa" w:w="6060"/>
            <w:vAlign w:val="top"/>
            <w:tcMar>
              <w:top w:w="80" w:type="dxa"/>
              <w:start w:w="120" w:type="dxa"/>
              <w:bottom w:w="80" w:type="dxa"/>
              <w:end w:w="120" w:type="dxa"/>
            </w:tcMar>
          </w:tcPr>
          <w:p>
            <w:pPr/>
            <w:r>
              <w:rPr>
                <w:sz w:val="16"/>
              </w:rPr>
              <w:t>Use British English as the default language and allow an authorised user to select German by user, sourcing event, supplier communication or generated document.</w:t>
            </w:r>
          </w:p>
        </w:tc>
        <w:tc>
          <w:tcPr>
            <w:tcW w:type="dxa" w:w="800"/>
            <w:vAlign w:val="top"/>
            <w:tcMar>
              <w:top w:w="80" w:type="dxa"/>
              <w:start w:w="120" w:type="dxa"/>
              <w:bottom w:w="80" w:type="dxa"/>
              <w:end w:w="120" w:type="dxa"/>
            </w:tcMar>
          </w:tcPr>
          <w:p>
            <w:pPr/>
            <w:r>
              <w:rPr>
                <w:sz w:val="16"/>
              </w:rPr>
              <w:t>Must</w:t>
            </w:r>
          </w:p>
        </w:tc>
      </w:tr>
      <w:tr>
        <w:trPr>
          <w:cantSplit/>
          <w:cantSplit/>
          <w:cantSplit/>
          <w:cantSplit/>
        </w:trPr>
        <w:tc>
          <w:tcPr>
            <w:tcW w:type="dxa" w:w="850"/>
            <w:vAlign w:val="top"/>
            <w:tcMar>
              <w:top w:w="80" w:type="dxa"/>
              <w:start w:w="120" w:type="dxa"/>
              <w:bottom w:w="80" w:type="dxa"/>
              <w:end w:w="120" w:type="dxa"/>
            </w:tcMar>
          </w:tcPr>
          <w:p>
            <w:pPr/>
            <w:r>
              <w:rPr>
                <w:sz w:val="16"/>
              </w:rPr>
              <w:t>FR-39</w:t>
            </w:r>
          </w:p>
        </w:tc>
        <w:tc>
          <w:tcPr>
            <w:tcW w:type="dxa" w:w="1650"/>
            <w:vAlign w:val="top"/>
            <w:tcMar>
              <w:top w:w="80" w:type="dxa"/>
              <w:start w:w="120" w:type="dxa"/>
              <w:bottom w:w="80" w:type="dxa"/>
              <w:end w:w="120" w:type="dxa"/>
            </w:tcMar>
          </w:tcPr>
          <w:p>
            <w:pPr/>
            <w:r>
              <w:rPr>
                <w:sz w:val="16"/>
              </w:rPr>
              <w:t>Bilingual procurement content</w:t>
            </w:r>
          </w:p>
        </w:tc>
        <w:tc>
          <w:tcPr>
            <w:tcW w:type="dxa" w:w="6060"/>
            <w:vAlign w:val="top"/>
            <w:tcMar>
              <w:top w:w="80" w:type="dxa"/>
              <w:start w:w="120" w:type="dxa"/>
              <w:bottom w:w="80" w:type="dxa"/>
              <w:end w:w="120" w:type="dxa"/>
            </w:tcMar>
          </w:tcPr>
          <w:p>
            <w:pPr/>
            <w:r>
              <w:rPr>
                <w:sz w:val="16"/>
              </w:rPr>
              <w:t>Create and review RFP/ITT content, supplier invitations, clarifications, reminders, award notices and performance communications in British English or German using approved terminology.</w:t>
            </w:r>
          </w:p>
        </w:tc>
        <w:tc>
          <w:tcPr>
            <w:tcW w:type="dxa" w:w="800"/>
            <w:vAlign w:val="top"/>
            <w:tcMar>
              <w:top w:w="80" w:type="dxa"/>
              <w:start w:w="120" w:type="dxa"/>
              <w:bottom w:w="80" w:type="dxa"/>
              <w:end w:w="120" w:type="dxa"/>
            </w:tcMar>
          </w:tcPr>
          <w:p>
            <w:pPr/>
            <w:r>
              <w:rPr>
                <w:sz w:val="16"/>
              </w:rPr>
              <w:t>Must</w:t>
            </w:r>
          </w:p>
        </w:tc>
      </w:tr>
      <w:tr>
        <w:trPr>
          <w:cantSplit/>
          <w:cantSplit/>
          <w:cantSplit/>
          <w:cantSplit/>
        </w:trPr>
        <w:tc>
          <w:tcPr>
            <w:tcW w:type="dxa" w:w="850"/>
            <w:vAlign w:val="top"/>
            <w:tcMar>
              <w:top w:w="80" w:type="dxa"/>
              <w:start w:w="120" w:type="dxa"/>
              <w:bottom w:w="80" w:type="dxa"/>
              <w:end w:w="120" w:type="dxa"/>
            </w:tcMar>
          </w:tcPr>
          <w:p>
            <w:pPr/>
            <w:r>
              <w:rPr>
                <w:sz w:val="16"/>
              </w:rPr>
              <w:t>FR-40</w:t>
            </w:r>
          </w:p>
        </w:tc>
        <w:tc>
          <w:tcPr>
            <w:tcW w:type="dxa" w:w="1650"/>
            <w:vAlign w:val="top"/>
            <w:tcMar>
              <w:top w:w="80" w:type="dxa"/>
              <w:start w:w="120" w:type="dxa"/>
              <w:bottom w:w="80" w:type="dxa"/>
              <w:end w:w="120" w:type="dxa"/>
            </w:tcMar>
          </w:tcPr>
          <w:p>
            <w:pPr/>
            <w:r>
              <w:rPr>
                <w:sz w:val="16"/>
              </w:rPr>
              <w:t>Bilingual inbound processing</w:t>
            </w:r>
          </w:p>
        </w:tc>
        <w:tc>
          <w:tcPr>
            <w:tcW w:type="dxa" w:w="6060"/>
            <w:vAlign w:val="top"/>
            <w:tcMar>
              <w:top w:w="80" w:type="dxa"/>
              <w:start w:w="120" w:type="dxa"/>
              <w:bottom w:w="80" w:type="dxa"/>
              <w:end w:w="120" w:type="dxa"/>
            </w:tcMar>
          </w:tcPr>
          <w:p>
            <w:pPr/>
            <w:r>
              <w:rPr>
                <w:sz w:val="16"/>
              </w:rPr>
              <w:t>Classify, link and extract supported facts from English- or German-language emails and attachments without requiring translation as a precondition.</w:t>
            </w:r>
          </w:p>
        </w:tc>
        <w:tc>
          <w:tcPr>
            <w:tcW w:type="dxa" w:w="800"/>
            <w:vAlign w:val="top"/>
            <w:tcMar>
              <w:top w:w="80" w:type="dxa"/>
              <w:start w:w="120" w:type="dxa"/>
              <w:bottom w:w="80" w:type="dxa"/>
              <w:end w:w="120" w:type="dxa"/>
            </w:tcMar>
          </w:tcPr>
          <w:p>
            <w:pPr/>
            <w:r>
              <w:rPr>
                <w:sz w:val="16"/>
              </w:rPr>
              <w:t>Must</w:t>
            </w:r>
          </w:p>
        </w:tc>
      </w:tr>
      <w:tr>
        <w:trPr>
          <w:cantSplit/>
          <w:cantSplit/>
          <w:cantSplit/>
          <w:cantSplit/>
        </w:trPr>
        <w:tc>
          <w:tcPr>
            <w:tcW w:type="dxa" w:w="850"/>
            <w:vAlign w:val="top"/>
            <w:tcMar>
              <w:top w:w="80" w:type="dxa"/>
              <w:start w:w="120" w:type="dxa"/>
              <w:bottom w:w="80" w:type="dxa"/>
              <w:end w:w="120" w:type="dxa"/>
            </w:tcMar>
          </w:tcPr>
          <w:p>
            <w:pPr/>
            <w:r>
              <w:rPr>
                <w:sz w:val="16"/>
              </w:rPr>
              <w:t>FR-41</w:t>
            </w:r>
          </w:p>
        </w:tc>
        <w:tc>
          <w:tcPr>
            <w:tcW w:type="dxa" w:w="1650"/>
            <w:vAlign w:val="top"/>
            <w:tcMar>
              <w:top w:w="80" w:type="dxa"/>
              <w:start w:w="120" w:type="dxa"/>
              <w:bottom w:w="80" w:type="dxa"/>
              <w:end w:w="120" w:type="dxa"/>
            </w:tcMar>
          </w:tcPr>
          <w:p>
            <w:pPr/>
            <w:r>
              <w:rPr>
                <w:sz w:val="16"/>
              </w:rPr>
              <w:t>Source-language preservation</w:t>
            </w:r>
          </w:p>
        </w:tc>
        <w:tc>
          <w:tcPr>
            <w:tcW w:type="dxa" w:w="6060"/>
            <w:vAlign w:val="top"/>
            <w:tcMar>
              <w:top w:w="80" w:type="dxa"/>
              <w:start w:w="120" w:type="dxa"/>
              <w:bottom w:w="80" w:type="dxa"/>
              <w:end w:w="120" w:type="dxa"/>
            </w:tcMar>
          </w:tcPr>
          <w:p>
            <w:pPr/>
            <w:r>
              <w:rPr>
                <w:sz w:val="16"/>
              </w:rPr>
              <w:t>Retain the original email or document as authoritative evidence, identify its source language and clearly label any generated translation with language, time and translation status.</w:t>
            </w:r>
          </w:p>
        </w:tc>
        <w:tc>
          <w:tcPr>
            <w:tcW w:type="dxa" w:w="800"/>
            <w:vAlign w:val="top"/>
            <w:tcMar>
              <w:top w:w="80" w:type="dxa"/>
              <w:start w:w="120" w:type="dxa"/>
              <w:bottom w:w="80" w:type="dxa"/>
              <w:end w:w="120" w:type="dxa"/>
            </w:tcMar>
          </w:tcPr>
          <w:p>
            <w:pPr/>
            <w:r>
              <w:rPr>
                <w:sz w:val="16"/>
              </w:rPr>
              <w:t>Must</w:t>
            </w:r>
          </w:p>
        </w:tc>
      </w:tr>
    </w:tbl>
    <w:p>
      <w:pPr>
        <w:spacing w:after="0"/>
      </w:pPr>
    </w:p>
    <w:p>
      <w:pPr>
        <w:pStyle w:val="Heading1"/>
      </w:pPr>
      <w:r>
        <w:t>8. Vendor Profile and Performance Scoring</w:t>
      </w:r>
    </w:p>
    <w:p>
      <w:pPr>
        <w:pStyle w:val="Heading2"/>
      </w:pPr>
      <w:r>
        <w:t>8.1 Vendor 360 content</w:t>
      </w:r>
    </w:p>
    <w:p>
      <w:pPr>
        <w:pStyle w:val="ListBullet"/>
      </w:pPr>
      <w:r>
        <w:t>Identity and relationship: legal/trading name, supplier status, contacts, regions, services, relationship duration and approved status.</w:t>
      </w:r>
    </w:p>
    <w:p>
      <w:pPr>
        <w:pStyle w:val="ListBullet"/>
      </w:pPr>
      <w:r>
        <w:t>Commercial history: spend, contracted and historical rates, invoice/rate compliance, sourcing events, awards and negotiated commitments.</w:t>
      </w:r>
    </w:p>
    <w:p>
      <w:pPr>
        <w:pStyle w:val="ListBullet"/>
      </w:pPr>
      <w:r>
        <w:t>Operational history: on-time pickup/delivery, acceptance, cancellations, capacity failures, claims/damage and material service incidents.</w:t>
      </w:r>
    </w:p>
    <w:p>
      <w:pPr>
        <w:pStyle w:val="ListBullet"/>
      </w:pPr>
      <w:r>
        <w:t>Contract and SLA history: active/previous contracts, commitments, exceptions, obligations and renewal dates.</w:t>
      </w:r>
    </w:p>
    <w:p>
      <w:pPr>
        <w:pStyle w:val="ListBullet"/>
      </w:pPr>
      <w:r>
        <w:t>Relationship history: business reviews, structured feedback, disputes, corrective actions and resolution status.</w:t>
      </w:r>
    </w:p>
    <w:p>
      <w:pPr>
        <w:pStyle w:val="ListBullet"/>
      </w:pPr>
      <w:r>
        <w:t>Evidence freshness: source system, latest period, last refresh and known gaps.</w:t>
      </w:r>
    </w:p>
    <w:p>
      <w:pPr>
        <w:pStyle w:val="Heading2"/>
      </w:pPr>
      <w:r>
        <w:t>8.2 Illustrative score model</w:t>
      </w:r>
    </w:p>
    <w:p>
      <w:r>
        <w:t>The prototype will demonstrate a simple model, but all weights, formulas, thresholds and periods are configuration subject to business approval. The score must be calculated deterministically; the agent may explain and recommend actions but must not invent the numeric result.</w:t>
      </w:r>
    </w:p>
    <w:tbl>
      <w:tblPr>
        <w:tblStyle w:val="TableGrid"/>
        <w:tblW w:type="dxa" w:w="9360"/>
        <w:jc w:val="left"/>
        <w:tblLayout w:type="fixed"/>
        <w:tblLook w:firstColumn="1" w:firstRow="1" w:lastColumn="0" w:lastRow="0" w:noHBand="0" w:noVBand="1" w:val="04A0"/>
        <w:tblInd w:w="120" w:type="dxa"/>
      </w:tblPr>
      <w:tblGrid>
        <w:gridCol w:w="2600"/>
        <w:gridCol w:w="1600"/>
        <w:gridCol w:w="5160"/>
      </w:tblGrid>
      <w:tr>
        <w:trPr>
          <w:tblHeader w:val="true"/>
        </w:trPr>
        <w:tc>
          <w:tcPr>
            <w:tcW w:type="dxa" w:w="2600"/>
            <w:shd w:fill="E8EEF5"/>
            <w:vAlign w:val="center"/>
            <w:tcMar>
              <w:top w:w="80" w:type="dxa"/>
              <w:start w:w="120" w:type="dxa"/>
              <w:bottom w:w="80" w:type="dxa"/>
              <w:end w:w="120" w:type="dxa"/>
            </w:tcMar>
          </w:tcPr>
          <w:p>
            <w:r>
              <w:rPr>
                <w:b/>
                <w:color w:val="17365D"/>
                <w:sz w:val="18"/>
              </w:rPr>
              <w:t>Dimension</w:t>
            </w:r>
          </w:p>
        </w:tc>
        <w:tc>
          <w:tcPr>
            <w:tcW w:type="dxa" w:w="1600"/>
            <w:shd w:fill="E8EEF5"/>
            <w:vAlign w:val="center"/>
            <w:tcMar>
              <w:top w:w="80" w:type="dxa"/>
              <w:start w:w="120" w:type="dxa"/>
              <w:bottom w:w="80" w:type="dxa"/>
              <w:end w:w="120" w:type="dxa"/>
            </w:tcMar>
          </w:tcPr>
          <w:p>
            <w:r>
              <w:rPr>
                <w:b/>
                <w:color w:val="17365D"/>
                <w:sz w:val="18"/>
              </w:rPr>
              <w:t>Illustrative weight</w:t>
            </w:r>
          </w:p>
        </w:tc>
        <w:tc>
          <w:tcPr>
            <w:tcW w:type="dxa" w:w="5160"/>
            <w:shd w:fill="E8EEF5"/>
            <w:vAlign w:val="center"/>
            <w:tcMar>
              <w:top w:w="80" w:type="dxa"/>
              <w:start w:w="120" w:type="dxa"/>
              <w:bottom w:w="80" w:type="dxa"/>
              <w:end w:w="120" w:type="dxa"/>
            </w:tcMar>
          </w:tcPr>
          <w:p>
            <w:r>
              <w:rPr>
                <w:b/>
                <w:color w:val="17365D"/>
                <w:sz w:val="18"/>
              </w:rPr>
              <w:t>Representative components</w:t>
            </w:r>
          </w:p>
        </w:tc>
      </w:tr>
      <w:tr>
        <w:trPr>
          <w:cantSplit/>
        </w:trPr>
        <w:tc>
          <w:tcPr>
            <w:tcW w:type="dxa" w:w="2600"/>
            <w:vAlign w:val="top"/>
            <w:tcMar>
              <w:top w:w="80" w:type="dxa"/>
              <w:start w:w="120" w:type="dxa"/>
              <w:bottom w:w="80" w:type="dxa"/>
              <w:end w:w="120" w:type="dxa"/>
            </w:tcMar>
          </w:tcPr>
          <w:p>
            <w:pPr>
              <w:spacing w:after="0"/>
            </w:pPr>
            <w:r>
              <w:rPr>
                <w:sz w:val="18"/>
              </w:rPr>
              <w:t>Operational performance</w:t>
            </w:r>
          </w:p>
        </w:tc>
        <w:tc>
          <w:tcPr>
            <w:tcW w:type="dxa" w:w="1600"/>
            <w:vAlign w:val="top"/>
            <w:tcMar>
              <w:top w:w="80" w:type="dxa"/>
              <w:start w:w="120" w:type="dxa"/>
              <w:bottom w:w="80" w:type="dxa"/>
              <w:end w:w="120" w:type="dxa"/>
            </w:tcMar>
          </w:tcPr>
          <w:p>
            <w:pPr>
              <w:spacing w:after="0"/>
            </w:pPr>
            <w:r>
              <w:rPr>
                <w:sz w:val="18"/>
              </w:rPr>
              <w:t>40%</w:t>
            </w:r>
          </w:p>
        </w:tc>
        <w:tc>
          <w:tcPr>
            <w:tcW w:type="dxa" w:w="5160"/>
            <w:vAlign w:val="top"/>
            <w:tcMar>
              <w:top w:w="80" w:type="dxa"/>
              <w:start w:w="120" w:type="dxa"/>
              <w:bottom w:w="80" w:type="dxa"/>
              <w:end w:w="120" w:type="dxa"/>
            </w:tcMar>
          </w:tcPr>
          <w:p>
            <w:pPr>
              <w:spacing w:after="0"/>
            </w:pPr>
            <w:r>
              <w:rPr>
                <w:sz w:val="18"/>
              </w:rPr>
              <w:t>On-time pickup/delivery, acceptance, cancellations, capacity failures and claims.</w:t>
            </w:r>
          </w:p>
        </w:tc>
      </w:tr>
      <w:tr>
        <w:trPr>
          <w:cantSplit/>
        </w:trPr>
        <w:tc>
          <w:tcPr>
            <w:tcW w:type="dxa" w:w="2600"/>
            <w:vAlign w:val="top"/>
            <w:tcMar>
              <w:top w:w="80" w:type="dxa"/>
              <w:start w:w="120" w:type="dxa"/>
              <w:bottom w:w="80" w:type="dxa"/>
              <w:end w:w="120" w:type="dxa"/>
            </w:tcMar>
          </w:tcPr>
          <w:p>
            <w:pPr>
              <w:spacing w:after="0"/>
            </w:pPr>
            <w:r>
              <w:rPr>
                <w:sz w:val="18"/>
              </w:rPr>
              <w:t>Commercial performance</w:t>
            </w:r>
          </w:p>
        </w:tc>
        <w:tc>
          <w:tcPr>
            <w:tcW w:type="dxa" w:w="1600"/>
            <w:vAlign w:val="top"/>
            <w:tcMar>
              <w:top w:w="80" w:type="dxa"/>
              <w:start w:w="120" w:type="dxa"/>
              <w:bottom w:w="80" w:type="dxa"/>
              <w:end w:w="120" w:type="dxa"/>
            </w:tcMar>
          </w:tcPr>
          <w:p>
            <w:pPr>
              <w:spacing w:after="0"/>
            </w:pPr>
            <w:r>
              <w:rPr>
                <w:sz w:val="18"/>
              </w:rPr>
              <w:t>25%</w:t>
            </w:r>
          </w:p>
        </w:tc>
        <w:tc>
          <w:tcPr>
            <w:tcW w:type="dxa" w:w="5160"/>
            <w:vAlign w:val="top"/>
            <w:tcMar>
              <w:top w:w="80" w:type="dxa"/>
              <w:start w:w="120" w:type="dxa"/>
              <w:bottom w:w="80" w:type="dxa"/>
              <w:end w:w="120" w:type="dxa"/>
            </w:tcMar>
          </w:tcPr>
          <w:p>
            <w:pPr>
              <w:spacing w:after="0"/>
            </w:pPr>
            <w:r>
              <w:rPr>
                <w:sz w:val="18"/>
              </w:rPr>
              <w:t>Rate compliance, invoice accuracy, cost competitiveness and savings commitments.</w:t>
            </w:r>
          </w:p>
        </w:tc>
      </w:tr>
      <w:tr>
        <w:trPr>
          <w:cantSplit/>
        </w:trPr>
        <w:tc>
          <w:tcPr>
            <w:tcW w:type="dxa" w:w="2600"/>
            <w:vAlign w:val="top"/>
            <w:tcMar>
              <w:top w:w="80" w:type="dxa"/>
              <w:start w:w="120" w:type="dxa"/>
              <w:bottom w:w="80" w:type="dxa"/>
              <w:end w:w="120" w:type="dxa"/>
            </w:tcMar>
          </w:tcPr>
          <w:p>
            <w:pPr>
              <w:spacing w:after="0"/>
            </w:pPr>
            <w:r>
              <w:rPr>
                <w:sz w:val="18"/>
              </w:rPr>
              <w:t>Contract / SLA performance</w:t>
            </w:r>
          </w:p>
        </w:tc>
        <w:tc>
          <w:tcPr>
            <w:tcW w:type="dxa" w:w="1600"/>
            <w:vAlign w:val="top"/>
            <w:tcMar>
              <w:top w:w="80" w:type="dxa"/>
              <w:start w:w="120" w:type="dxa"/>
              <w:bottom w:w="80" w:type="dxa"/>
              <w:end w:w="120" w:type="dxa"/>
            </w:tcMar>
          </w:tcPr>
          <w:p>
            <w:pPr>
              <w:spacing w:after="0"/>
            </w:pPr>
            <w:r>
              <w:rPr>
                <w:sz w:val="18"/>
              </w:rPr>
              <w:t>20%</w:t>
            </w:r>
          </w:p>
        </w:tc>
        <w:tc>
          <w:tcPr>
            <w:tcW w:type="dxa" w:w="5160"/>
            <w:vAlign w:val="top"/>
            <w:tcMar>
              <w:top w:w="80" w:type="dxa"/>
              <w:start w:w="120" w:type="dxa"/>
              <w:bottom w:w="80" w:type="dxa"/>
              <w:end w:w="120" w:type="dxa"/>
            </w:tcMar>
          </w:tcPr>
          <w:p>
            <w:pPr>
              <w:spacing w:after="0"/>
            </w:pPr>
            <w:r>
              <w:rPr>
                <w:sz w:val="18"/>
              </w:rPr>
              <w:t>Actual performance against explicitly contracted obligations.</w:t>
            </w:r>
          </w:p>
        </w:tc>
      </w:tr>
      <w:tr>
        <w:trPr>
          <w:cantSplit/>
        </w:trPr>
        <w:tc>
          <w:tcPr>
            <w:tcW w:type="dxa" w:w="2600"/>
            <w:vAlign w:val="top"/>
            <w:tcMar>
              <w:top w:w="80" w:type="dxa"/>
              <w:start w:w="120" w:type="dxa"/>
              <w:bottom w:w="80" w:type="dxa"/>
              <w:end w:w="120" w:type="dxa"/>
            </w:tcMar>
          </w:tcPr>
          <w:p>
            <w:pPr>
              <w:spacing w:after="0"/>
            </w:pPr>
            <w:r>
              <w:rPr>
                <w:sz w:val="18"/>
              </w:rPr>
              <w:t>Relationship and responsiveness</w:t>
            </w:r>
          </w:p>
        </w:tc>
        <w:tc>
          <w:tcPr>
            <w:tcW w:type="dxa" w:w="1600"/>
            <w:vAlign w:val="top"/>
            <w:tcMar>
              <w:top w:w="80" w:type="dxa"/>
              <w:start w:w="120" w:type="dxa"/>
              <w:bottom w:w="80" w:type="dxa"/>
              <w:end w:w="120" w:type="dxa"/>
            </w:tcMar>
          </w:tcPr>
          <w:p>
            <w:pPr>
              <w:spacing w:after="0"/>
            </w:pPr>
            <w:r>
              <w:rPr>
                <w:sz w:val="18"/>
              </w:rPr>
              <w:t>15%</w:t>
            </w:r>
          </w:p>
        </w:tc>
        <w:tc>
          <w:tcPr>
            <w:tcW w:type="dxa" w:w="5160"/>
            <w:vAlign w:val="top"/>
            <w:tcMar>
              <w:top w:w="80" w:type="dxa"/>
              <w:start w:w="120" w:type="dxa"/>
              <w:bottom w:w="80" w:type="dxa"/>
              <w:end w:w="120" w:type="dxa"/>
            </w:tcMar>
          </w:tcPr>
          <w:p>
            <w:pPr>
              <w:spacing w:after="0"/>
            </w:pPr>
            <w:r>
              <w:rPr>
                <w:sz w:val="18"/>
              </w:rPr>
              <w:t>Issue response, corrective-action closure and structured buyer feedback.</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F4F6F9"/>
            <w:tcMar>
              <w:top w:w="80" w:type="dxa"/>
              <w:start w:w="120" w:type="dxa"/>
              <w:bottom w:w="80" w:type="dxa"/>
              <w:end w:w="120" w:type="dxa"/>
            </w:tcMar>
          </w:tcPr>
          <w:p>
            <w:r/>
            <w:r>
              <w:rPr>
                <w:b/>
                <w:color w:val="17365D"/>
              </w:rPr>
              <w:t xml:space="preserve">Scoring guardrail: </w:t>
            </w:r>
            <w:r>
              <w:t>A total score is shown only when minimum evidence requirements are met. Missing evidence is disclosed. A new vendor remains No History. Qualitative inputs must identify author, date, rating scale and commentary; free-form sentiment alone must not determine a score.</w:t>
            </w:r>
          </w:p>
        </w:tc>
      </w:tr>
    </w:tbl>
    <w:p>
      <w:pPr>
        <w:spacing w:after="0"/>
      </w:pPr>
    </w:p>
    <w:p>
      <w:pPr>
        <w:pStyle w:val="Heading1"/>
      </w:pPr>
      <w:r>
        <w:t>9. Bid Evaluation Requirements</w:t>
      </w:r>
    </w:p>
    <w:p>
      <w:r>
        <w:t>Evaluation must distinguish qualification, weighted assessment, commercial normalization and historical performance. Vendor history is an evidence source, not an automatic incumbent preference. The interface must explain how history affected the result and allow an authorised user to exclude it or adjust its approved weight before evaluation is locked.</w:t>
      </w:r>
    </w:p>
    <w:tbl>
      <w:tblPr>
        <w:tblStyle w:val="TableGrid"/>
        <w:tblW w:type="dxa" w:w="9360"/>
        <w:jc w:val="left"/>
        <w:tblLayout w:type="fixed"/>
        <w:tblLook w:firstColumn="1" w:firstRow="1" w:lastColumn="0" w:lastRow="0" w:noHBand="0" w:noVBand="1" w:val="04A0"/>
        <w:tblInd w:w="120" w:type="dxa"/>
      </w:tblPr>
      <w:tblGrid>
        <w:gridCol w:w="2600"/>
        <w:gridCol w:w="6760"/>
      </w:tblGrid>
      <w:tr>
        <w:trPr>
          <w:tblHeader w:val="true"/>
        </w:trPr>
        <w:tc>
          <w:tcPr>
            <w:tcW w:type="dxa" w:w="2600"/>
            <w:shd w:fill="E8EEF5"/>
            <w:vAlign w:val="center"/>
            <w:tcMar>
              <w:top w:w="80" w:type="dxa"/>
              <w:start w:w="120" w:type="dxa"/>
              <w:bottom w:w="80" w:type="dxa"/>
              <w:end w:w="120" w:type="dxa"/>
            </w:tcMar>
          </w:tcPr>
          <w:p>
            <w:r>
              <w:rPr>
                <w:b/>
                <w:color w:val="17365D"/>
                <w:sz w:val="18"/>
              </w:rPr>
              <w:t>Evaluation element</w:t>
            </w:r>
          </w:p>
        </w:tc>
        <w:tc>
          <w:tcPr>
            <w:tcW w:type="dxa" w:w="6760"/>
            <w:shd w:fill="E8EEF5"/>
            <w:vAlign w:val="center"/>
            <w:tcMar>
              <w:top w:w="80" w:type="dxa"/>
              <w:start w:w="120" w:type="dxa"/>
              <w:bottom w:w="80" w:type="dxa"/>
              <w:end w:w="120" w:type="dxa"/>
            </w:tcMar>
          </w:tcPr>
          <w:p>
            <w:r>
              <w:rPr>
                <w:b/>
                <w:color w:val="17365D"/>
                <w:sz w:val="18"/>
              </w:rPr>
              <w:t>Required behaviour</w:t>
            </w:r>
          </w:p>
        </w:tc>
      </w:tr>
      <w:tr>
        <w:trPr>
          <w:cantSplit/>
        </w:trPr>
        <w:tc>
          <w:tcPr>
            <w:tcW w:type="dxa" w:w="2600"/>
            <w:vAlign w:val="top"/>
            <w:tcMar>
              <w:top w:w="80" w:type="dxa"/>
              <w:start w:w="120" w:type="dxa"/>
              <w:bottom w:w="80" w:type="dxa"/>
              <w:end w:w="120" w:type="dxa"/>
            </w:tcMar>
          </w:tcPr>
          <w:p>
            <w:pPr>
              <w:spacing w:after="0"/>
            </w:pPr>
            <w:r>
              <w:rPr>
                <w:sz w:val="18"/>
              </w:rPr>
              <w:t>Qualification gates</w:t>
            </w:r>
          </w:p>
        </w:tc>
        <w:tc>
          <w:tcPr>
            <w:tcW w:type="dxa" w:w="6760"/>
            <w:vAlign w:val="top"/>
            <w:tcMar>
              <w:top w:w="80" w:type="dxa"/>
              <w:start w:w="120" w:type="dxa"/>
              <w:bottom w:w="80" w:type="dxa"/>
              <w:end w:w="120" w:type="dxa"/>
            </w:tcMar>
          </w:tcPr>
          <w:p>
            <w:pPr>
              <w:spacing w:after="0"/>
            </w:pPr>
            <w:r>
              <w:rPr>
                <w:sz w:val="18"/>
              </w:rPr>
              <w:t>Show Pass, Fail or Evidence Missing with citations; block or clearly segregate failed bids.</w:t>
            </w:r>
          </w:p>
        </w:tc>
      </w:tr>
      <w:tr>
        <w:trPr>
          <w:cantSplit/>
        </w:trPr>
        <w:tc>
          <w:tcPr>
            <w:tcW w:type="dxa" w:w="2600"/>
            <w:vAlign w:val="top"/>
            <w:tcMar>
              <w:top w:w="80" w:type="dxa"/>
              <w:start w:w="120" w:type="dxa"/>
              <w:bottom w:w="80" w:type="dxa"/>
              <w:end w:w="120" w:type="dxa"/>
            </w:tcMar>
          </w:tcPr>
          <w:p>
            <w:pPr>
              <w:spacing w:after="0"/>
            </w:pPr>
            <w:r>
              <w:rPr>
                <w:sz w:val="18"/>
              </w:rPr>
              <w:t>Commercial comparison</w:t>
            </w:r>
          </w:p>
        </w:tc>
        <w:tc>
          <w:tcPr>
            <w:tcW w:type="dxa" w:w="6760"/>
            <w:vAlign w:val="top"/>
            <w:tcMar>
              <w:top w:w="80" w:type="dxa"/>
              <w:start w:w="120" w:type="dxa"/>
              <w:bottom w:w="80" w:type="dxa"/>
              <w:end w:w="120" w:type="dxa"/>
            </w:tcMar>
          </w:tcPr>
          <w:p>
            <w:pPr>
              <w:spacing w:after="0"/>
            </w:pPr>
            <w:r>
              <w:rPr>
                <w:sz w:val="18"/>
              </w:rPr>
              <w:t>Show normalised annual/term cost and original carrier assumptions; isolate surcharges and exclusions.</w:t>
            </w:r>
          </w:p>
        </w:tc>
      </w:tr>
      <w:tr>
        <w:trPr>
          <w:cantSplit/>
        </w:trPr>
        <w:tc>
          <w:tcPr>
            <w:tcW w:type="dxa" w:w="2600"/>
            <w:vAlign w:val="top"/>
            <w:tcMar>
              <w:top w:w="80" w:type="dxa"/>
              <w:start w:w="120" w:type="dxa"/>
              <w:bottom w:w="80" w:type="dxa"/>
              <w:end w:w="120" w:type="dxa"/>
            </w:tcMar>
          </w:tcPr>
          <w:p>
            <w:pPr>
              <w:spacing w:after="0"/>
            </w:pPr>
            <w:r>
              <w:rPr>
                <w:sz w:val="18"/>
              </w:rPr>
              <w:t>Service and capacity</w:t>
            </w:r>
          </w:p>
        </w:tc>
        <w:tc>
          <w:tcPr>
            <w:tcW w:type="dxa" w:w="6760"/>
            <w:vAlign w:val="top"/>
            <w:tcMar>
              <w:top w:w="80" w:type="dxa"/>
              <w:start w:w="120" w:type="dxa"/>
              <w:bottom w:w="80" w:type="dxa"/>
              <w:end w:w="120" w:type="dxa"/>
            </w:tcMar>
          </w:tcPr>
          <w:p>
            <w:pPr>
              <w:spacing w:after="0"/>
            </w:pPr>
            <w:r>
              <w:rPr>
                <w:sz w:val="18"/>
              </w:rPr>
              <w:t>Compare coverage, service commitments, transition plans and capacity by lane or cluster.</w:t>
            </w:r>
          </w:p>
        </w:tc>
      </w:tr>
      <w:tr>
        <w:trPr>
          <w:cantSplit/>
        </w:trPr>
        <w:tc>
          <w:tcPr>
            <w:tcW w:type="dxa" w:w="2600"/>
            <w:vAlign w:val="top"/>
            <w:tcMar>
              <w:top w:w="80" w:type="dxa"/>
              <w:start w:w="120" w:type="dxa"/>
              <w:bottom w:w="80" w:type="dxa"/>
              <w:end w:w="120" w:type="dxa"/>
            </w:tcMar>
          </w:tcPr>
          <w:p>
            <w:pPr>
              <w:spacing w:after="0"/>
            </w:pPr>
            <w:r>
              <w:rPr>
                <w:sz w:val="18"/>
              </w:rPr>
              <w:t>Vendor history</w:t>
            </w:r>
          </w:p>
        </w:tc>
        <w:tc>
          <w:tcPr>
            <w:tcW w:type="dxa" w:w="6760"/>
            <w:vAlign w:val="top"/>
            <w:tcMar>
              <w:top w:w="80" w:type="dxa"/>
              <w:start w:w="120" w:type="dxa"/>
              <w:bottom w:w="80" w:type="dxa"/>
              <w:end w:w="120" w:type="dxa"/>
            </w:tcMar>
          </w:tcPr>
          <w:p>
            <w:pPr>
              <w:spacing w:after="0"/>
            </w:pPr>
            <w:r>
              <w:rPr>
                <w:sz w:val="18"/>
              </w:rPr>
              <w:t>Use the approved historical score/metrics for incumbents and show No History for challengers.</w:t>
            </w:r>
          </w:p>
        </w:tc>
      </w:tr>
      <w:tr>
        <w:trPr>
          <w:cantSplit/>
        </w:trPr>
        <w:tc>
          <w:tcPr>
            <w:tcW w:type="dxa" w:w="2600"/>
            <w:vAlign w:val="top"/>
            <w:tcMar>
              <w:top w:w="80" w:type="dxa"/>
              <w:start w:w="120" w:type="dxa"/>
              <w:bottom w:w="80" w:type="dxa"/>
              <w:end w:w="120" w:type="dxa"/>
            </w:tcMar>
          </w:tcPr>
          <w:p>
            <w:pPr>
              <w:spacing w:after="0"/>
            </w:pPr>
            <w:r>
              <w:rPr>
                <w:sz w:val="18"/>
              </w:rPr>
              <w:t>Scenario trade-offs</w:t>
            </w:r>
          </w:p>
        </w:tc>
        <w:tc>
          <w:tcPr>
            <w:tcW w:type="dxa" w:w="6760"/>
            <w:vAlign w:val="top"/>
            <w:tcMar>
              <w:top w:w="80" w:type="dxa"/>
              <w:start w:w="120" w:type="dxa"/>
              <w:bottom w:w="80" w:type="dxa"/>
              <w:end w:w="120" w:type="dxa"/>
            </w:tcMar>
          </w:tcPr>
          <w:p>
            <w:pPr>
              <w:spacing w:after="0"/>
            </w:pPr>
            <w:r>
              <w:rPr>
                <w:sz w:val="18"/>
              </w:rPr>
              <w:t>Explain price, performance, concentration, coverage and transition-risk differences.</w:t>
            </w:r>
          </w:p>
        </w:tc>
      </w:tr>
      <w:tr>
        <w:trPr>
          <w:cantSplit/>
        </w:trPr>
        <w:tc>
          <w:tcPr>
            <w:tcW w:type="dxa" w:w="2600"/>
            <w:vAlign w:val="top"/>
            <w:tcMar>
              <w:top w:w="80" w:type="dxa"/>
              <w:start w:w="120" w:type="dxa"/>
              <w:bottom w:w="80" w:type="dxa"/>
              <w:end w:w="120" w:type="dxa"/>
            </w:tcMar>
          </w:tcPr>
          <w:p>
            <w:pPr>
              <w:spacing w:after="0"/>
            </w:pPr>
            <w:r>
              <w:rPr>
                <w:sz w:val="18"/>
              </w:rPr>
              <w:t>Recommendation</w:t>
            </w:r>
          </w:p>
        </w:tc>
        <w:tc>
          <w:tcPr>
            <w:tcW w:type="dxa" w:w="6760"/>
            <w:vAlign w:val="top"/>
            <w:tcMar>
              <w:top w:w="80" w:type="dxa"/>
              <w:start w:w="120" w:type="dxa"/>
              <w:bottom w:w="80" w:type="dxa"/>
              <w:end w:w="120" w:type="dxa"/>
            </w:tcMar>
          </w:tcPr>
          <w:p>
            <w:pPr>
              <w:spacing w:after="0"/>
            </w:pPr>
            <w:r>
              <w:rPr>
                <w:sz w:val="18"/>
              </w:rPr>
              <w:t>State recommended award, rationale, assumptions, confidence/evidence gaps and human decision required.</w:t>
            </w:r>
          </w:p>
        </w:tc>
      </w:tr>
    </w:tbl>
    <w:p>
      <w:pPr>
        <w:spacing w:after="0"/>
      </w:pPr>
    </w:p>
    <w:p>
      <w:pPr>
        <w:pStyle w:val="Heading1"/>
      </w:pPr>
      <w:r>
        <w:t>10. Action Centre and Agentic Behaviour</w:t>
      </w:r>
    </w:p>
    <w:tbl>
      <w:tblPr>
        <w:tblStyle w:val="TableGrid"/>
        <w:tblW w:type="dxa" w:w="9360"/>
        <w:jc w:val="left"/>
        <w:tblLayout w:type="fixed"/>
        <w:tblLook w:firstColumn="1" w:firstRow="1" w:lastColumn="0" w:lastRow="0" w:noHBand="0" w:noVBand="1" w:val="04A0"/>
        <w:tblInd w:w="120" w:type="dxa"/>
      </w:tblPr>
      <w:tblGrid>
        <w:gridCol w:w="2500"/>
        <w:gridCol w:w="6860"/>
      </w:tblGrid>
      <w:tr>
        <w:trPr>
          <w:tblHeader w:val="true"/>
        </w:trPr>
        <w:tc>
          <w:tcPr>
            <w:tcW w:type="dxa" w:w="2500"/>
            <w:shd w:fill="E8EEF5"/>
            <w:vAlign w:val="center"/>
            <w:tcMar>
              <w:top w:w="80" w:type="dxa"/>
              <w:start w:w="120" w:type="dxa"/>
              <w:bottom w:w="80" w:type="dxa"/>
              <w:end w:w="120" w:type="dxa"/>
            </w:tcMar>
          </w:tcPr>
          <w:p>
            <w:r>
              <w:rPr>
                <w:b/>
                <w:color w:val="17365D"/>
                <w:sz w:val="18"/>
              </w:rPr>
              <w:t>Agentic behaviour</w:t>
            </w:r>
          </w:p>
        </w:tc>
        <w:tc>
          <w:tcPr>
            <w:tcW w:type="dxa" w:w="6860"/>
            <w:shd w:fill="E8EEF5"/>
            <w:vAlign w:val="center"/>
            <w:tcMar>
              <w:top w:w="80" w:type="dxa"/>
              <w:start w:w="120" w:type="dxa"/>
              <w:bottom w:w="80" w:type="dxa"/>
              <w:end w:w="120" w:type="dxa"/>
            </w:tcMar>
          </w:tcPr>
          <w:p>
            <w:r>
              <w:rPr>
                <w:b/>
                <w:color w:val="17365D"/>
                <w:sz w:val="18"/>
              </w:rPr>
              <w:t>Business requirement / guardrail</w:t>
            </w:r>
          </w:p>
        </w:tc>
      </w:tr>
      <w:tr>
        <w:trPr>
          <w:cantSplit/>
        </w:trPr>
        <w:tc>
          <w:tcPr>
            <w:tcW w:type="dxa" w:w="2500"/>
            <w:vAlign w:val="top"/>
            <w:tcMar>
              <w:top w:w="80" w:type="dxa"/>
              <w:start w:w="120" w:type="dxa"/>
              <w:bottom w:w="80" w:type="dxa"/>
              <w:end w:w="120" w:type="dxa"/>
            </w:tcMar>
          </w:tcPr>
          <w:p>
            <w:pPr>
              <w:spacing w:after="0"/>
            </w:pPr>
            <w:r>
              <w:rPr>
                <w:sz w:val="18"/>
              </w:rPr>
              <w:t>Monitor</w:t>
            </w:r>
          </w:p>
        </w:tc>
        <w:tc>
          <w:tcPr>
            <w:tcW w:type="dxa" w:w="6860"/>
            <w:vAlign w:val="top"/>
            <w:tcMar>
              <w:top w:w="80" w:type="dxa"/>
              <w:start w:w="120" w:type="dxa"/>
              <w:bottom w:w="80" w:type="dxa"/>
              <w:end w:w="120" w:type="dxa"/>
            </w:tcMar>
          </w:tcPr>
          <w:p>
            <w:pPr>
              <w:spacing w:after="0"/>
            </w:pPr>
            <w:r>
              <w:rPr>
                <w:sz w:val="18"/>
              </w:rPr>
              <w:t>Continuously or periodically inspect available sourcing, contract, shipment, invoice, claim and action data within the prototype dataset.</w:t>
            </w:r>
          </w:p>
        </w:tc>
      </w:tr>
      <w:tr>
        <w:trPr>
          <w:cantSplit/>
        </w:trPr>
        <w:tc>
          <w:tcPr>
            <w:tcW w:type="dxa" w:w="2500"/>
            <w:vAlign w:val="top"/>
            <w:tcMar>
              <w:top w:w="80" w:type="dxa"/>
              <w:start w:w="120" w:type="dxa"/>
              <w:bottom w:w="80" w:type="dxa"/>
              <w:end w:w="120" w:type="dxa"/>
            </w:tcMar>
          </w:tcPr>
          <w:p>
            <w:pPr>
              <w:spacing w:after="0"/>
            </w:pPr>
            <w:r>
              <w:rPr>
                <w:sz w:val="18"/>
              </w:rPr>
              <w:t>Detect</w:t>
            </w:r>
          </w:p>
        </w:tc>
        <w:tc>
          <w:tcPr>
            <w:tcW w:type="dxa" w:w="6860"/>
            <w:vAlign w:val="top"/>
            <w:tcMar>
              <w:top w:w="80" w:type="dxa"/>
              <w:start w:w="120" w:type="dxa"/>
              <w:bottom w:w="80" w:type="dxa"/>
              <w:end w:w="120" w:type="dxa"/>
            </w:tcMar>
          </w:tcPr>
          <w:p>
            <w:pPr>
              <w:spacing w:after="0"/>
            </w:pPr>
            <w:r>
              <w:rPr>
                <w:sz w:val="18"/>
              </w:rPr>
              <w:t>Identify material expiry, performance, capacity, claims, rate or compliance exceptions using approved rules.</w:t>
            </w:r>
          </w:p>
        </w:tc>
      </w:tr>
      <w:tr>
        <w:trPr>
          <w:cantSplit/>
        </w:trPr>
        <w:tc>
          <w:tcPr>
            <w:tcW w:type="dxa" w:w="2500"/>
            <w:vAlign w:val="top"/>
            <w:tcMar>
              <w:top w:w="80" w:type="dxa"/>
              <w:start w:w="120" w:type="dxa"/>
              <w:bottom w:w="80" w:type="dxa"/>
              <w:end w:w="120" w:type="dxa"/>
            </w:tcMar>
          </w:tcPr>
          <w:p>
            <w:pPr>
              <w:spacing w:after="0"/>
            </w:pPr>
            <w:r>
              <w:rPr>
                <w:sz w:val="18"/>
              </w:rPr>
              <w:t>Explain</w:t>
            </w:r>
          </w:p>
        </w:tc>
        <w:tc>
          <w:tcPr>
            <w:tcW w:type="dxa" w:w="6860"/>
            <w:vAlign w:val="top"/>
            <w:tcMar>
              <w:top w:w="80" w:type="dxa"/>
              <w:start w:w="120" w:type="dxa"/>
              <w:bottom w:w="80" w:type="dxa"/>
              <w:end w:w="120" w:type="dxa"/>
            </w:tcMar>
          </w:tcPr>
          <w:p>
            <w:pPr>
              <w:spacing w:after="0"/>
            </w:pPr>
            <w:r>
              <w:rPr>
                <w:sz w:val="18"/>
              </w:rPr>
              <w:t>State what changed, versus which baseline, over what period, using which records and why it matters.</w:t>
            </w:r>
          </w:p>
        </w:tc>
      </w:tr>
      <w:tr>
        <w:trPr>
          <w:cantSplit/>
        </w:trPr>
        <w:tc>
          <w:tcPr>
            <w:tcW w:type="dxa" w:w="2500"/>
            <w:vAlign w:val="top"/>
            <w:tcMar>
              <w:top w:w="80" w:type="dxa"/>
              <w:start w:w="120" w:type="dxa"/>
              <w:bottom w:w="80" w:type="dxa"/>
              <w:end w:w="120" w:type="dxa"/>
            </w:tcMar>
          </w:tcPr>
          <w:p>
            <w:pPr>
              <w:spacing w:after="0"/>
            </w:pPr>
            <w:r>
              <w:rPr>
                <w:sz w:val="18"/>
              </w:rPr>
              <w:t>Recommend</w:t>
            </w:r>
          </w:p>
        </w:tc>
        <w:tc>
          <w:tcPr>
            <w:tcW w:type="dxa" w:w="6860"/>
            <w:vAlign w:val="top"/>
            <w:tcMar>
              <w:top w:w="80" w:type="dxa"/>
              <w:start w:w="120" w:type="dxa"/>
              <w:bottom w:w="80" w:type="dxa"/>
              <w:end w:w="120" w:type="dxa"/>
            </w:tcMar>
          </w:tcPr>
          <w:p>
            <w:pPr>
              <w:spacing w:after="0"/>
            </w:pPr>
            <w:r>
              <w:rPr>
                <w:sz w:val="18"/>
              </w:rPr>
              <w:t>Propose a next action and expected outcome without representing estimates as observed fact.</w:t>
            </w:r>
          </w:p>
        </w:tc>
      </w:tr>
      <w:tr>
        <w:trPr>
          <w:cantSplit/>
        </w:trPr>
        <w:tc>
          <w:tcPr>
            <w:tcW w:type="dxa" w:w="2500"/>
            <w:vAlign w:val="top"/>
            <w:tcMar>
              <w:top w:w="80" w:type="dxa"/>
              <w:start w:w="120" w:type="dxa"/>
              <w:bottom w:w="80" w:type="dxa"/>
              <w:end w:w="120" w:type="dxa"/>
            </w:tcMar>
          </w:tcPr>
          <w:p>
            <w:pPr>
              <w:spacing w:after="0"/>
            </w:pPr>
            <w:r>
              <w:rPr>
                <w:sz w:val="18"/>
              </w:rPr>
              <w:t>Coordinate</w:t>
            </w:r>
          </w:p>
        </w:tc>
        <w:tc>
          <w:tcPr>
            <w:tcW w:type="dxa" w:w="6860"/>
            <w:vAlign w:val="top"/>
            <w:tcMar>
              <w:top w:w="80" w:type="dxa"/>
              <w:start w:w="120" w:type="dxa"/>
              <w:bottom w:w="80" w:type="dxa"/>
              <w:end w:w="120" w:type="dxa"/>
            </w:tcMar>
          </w:tcPr>
          <w:p>
            <w:pPr>
              <w:spacing w:after="0"/>
            </w:pPr>
            <w:r>
              <w:rPr>
                <w:sz w:val="18"/>
              </w:rPr>
              <w:t>Create an owned action, due date and review/approval step; maintain status and history.</w:t>
            </w:r>
          </w:p>
        </w:tc>
      </w:tr>
      <w:tr>
        <w:trPr>
          <w:cantSplit/>
        </w:trPr>
        <w:tc>
          <w:tcPr>
            <w:tcW w:type="dxa" w:w="2500"/>
            <w:vAlign w:val="top"/>
            <w:tcMar>
              <w:top w:w="80" w:type="dxa"/>
              <w:start w:w="120" w:type="dxa"/>
              <w:bottom w:w="80" w:type="dxa"/>
              <w:end w:w="120" w:type="dxa"/>
            </w:tcMar>
          </w:tcPr>
          <w:p>
            <w:pPr>
              <w:spacing w:after="0"/>
            </w:pPr>
            <w:r>
              <w:rPr>
                <w:sz w:val="18"/>
              </w:rPr>
              <w:t>Learn</w:t>
            </w:r>
          </w:p>
        </w:tc>
        <w:tc>
          <w:tcPr>
            <w:tcW w:type="dxa" w:w="6860"/>
            <w:vAlign w:val="top"/>
            <w:tcMar>
              <w:top w:w="80" w:type="dxa"/>
              <w:start w:w="120" w:type="dxa"/>
              <w:bottom w:w="80" w:type="dxa"/>
              <w:end w:w="120" w:type="dxa"/>
            </w:tcMar>
          </w:tcPr>
          <w:p>
            <w:pPr>
              <w:spacing w:after="0"/>
            </w:pPr>
            <w:r>
              <w:rPr>
                <w:sz w:val="18"/>
              </w:rPr>
              <w:t>Add only verified execution outcomes to the vendor record and use those records in later decisions.</w:t>
            </w:r>
          </w:p>
        </w:tc>
      </w:tr>
      <w:tr>
        <w:trPr>
          <w:cantSplit/>
        </w:trPr>
        <w:tc>
          <w:tcPr>
            <w:tcW w:type="dxa" w:w="2500"/>
            <w:vAlign w:val="top"/>
            <w:tcMar>
              <w:top w:w="80" w:type="dxa"/>
              <w:start w:w="120" w:type="dxa"/>
              <w:bottom w:w="80" w:type="dxa"/>
              <w:end w:w="120" w:type="dxa"/>
            </w:tcMar>
          </w:tcPr>
          <w:p>
            <w:pPr>
              <w:spacing w:after="0"/>
            </w:pPr>
            <w:r>
              <w:rPr>
                <w:sz w:val="18"/>
              </w:rPr>
              <w:t>Escalate uncertainty</w:t>
            </w:r>
          </w:p>
        </w:tc>
        <w:tc>
          <w:tcPr>
            <w:tcW w:type="dxa" w:w="6860"/>
            <w:vAlign w:val="top"/>
            <w:tcMar>
              <w:top w:w="80" w:type="dxa"/>
              <w:start w:w="120" w:type="dxa"/>
              <w:bottom w:w="80" w:type="dxa"/>
              <w:end w:w="120" w:type="dxa"/>
            </w:tcMar>
          </w:tcPr>
          <w:p>
            <w:pPr>
              <w:spacing w:after="0"/>
            </w:pPr>
            <w:r>
              <w:rPr>
                <w:sz w:val="18"/>
              </w:rPr>
              <w:t>Flag insufficient, stale or conflicting evidence and request review instead of fabricating completion.</w:t>
            </w:r>
          </w:p>
        </w:tc>
      </w:tr>
      <w:tr>
        <w:trPr>
          <w:cantSplit/>
        </w:trPr>
        <w:tc>
          <w:tcPr>
            <w:tcW w:type="dxa" w:w="2500"/>
            <w:vAlign w:val="top"/>
            <w:tcMar>
              <w:top w:w="80" w:type="dxa"/>
              <w:start w:w="120" w:type="dxa"/>
              <w:bottom w:w="80" w:type="dxa"/>
              <w:end w:w="120" w:type="dxa"/>
            </w:tcMar>
          </w:tcPr>
          <w:p>
            <w:pPr>
              <w:spacing w:after="0"/>
            </w:pPr>
            <w:r>
              <w:rPr>
                <w:sz w:val="18"/>
              </w:rPr>
              <w:t>Preserve authority</w:t>
            </w:r>
          </w:p>
        </w:tc>
        <w:tc>
          <w:tcPr>
            <w:tcW w:type="dxa" w:w="6860"/>
            <w:vAlign w:val="top"/>
            <w:tcMar>
              <w:top w:w="80" w:type="dxa"/>
              <w:start w:w="120" w:type="dxa"/>
              <w:bottom w:w="80" w:type="dxa"/>
              <w:end w:w="120" w:type="dxa"/>
            </w:tcMar>
          </w:tcPr>
          <w:p>
            <w:pPr>
              <w:spacing w:after="0"/>
            </w:pPr>
            <w:r>
              <w:rPr>
                <w:sz w:val="18"/>
              </w:rPr>
              <w:t>Do not invite, award, communicate externally, change a contract, reallocate volume or update a system of record without human authorisation.</w:t>
            </w:r>
          </w:p>
        </w:tc>
      </w:tr>
    </w:tbl>
    <w:p>
      <w:pPr>
        <w:spacing w:after="0"/>
      </w:pPr>
    </w:p>
    <w:p>
      <w:pPr>
        <w:pStyle w:val="Heading1"/>
      </w:pPr>
      <w:r>
        <w:t>11. Email and Supplier Communications</w:t>
      </w:r>
    </w:p>
    <w:p>
      <w:r>
        <w:t>Email is a native procurement channel within Compass, not merely a notification mechanism. The prototype will demonstrate controlled ingestion of relevant incoming messages and governed creation of outgoing supplier communications. Access to an email does not make it procurement data: Compass must positively establish a relationship to a defined procurement object before extracting, retaining or using its contents.</w:t>
      </w:r>
    </w:p>
    <w:p>
      <w:pPr>
        <w:pStyle w:val="Heading2"/>
      </w:pPr>
      <w:r>
        <w:t>11.1 Inbound relevance and filtering model</w:t>
      </w:r>
    </w:p>
    <w:tbl>
      <w:tblPr>
        <w:tblStyle w:val="TableGrid"/>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shd w:fill="E8EEF5"/>
            <w:vAlign w:val="center"/>
            <w:tcMar>
              <w:top w:w="80" w:type="dxa"/>
              <w:start w:w="120" w:type="dxa"/>
              <w:bottom w:w="80" w:type="dxa"/>
              <w:end w:w="120" w:type="dxa"/>
            </w:tcMar>
          </w:tcPr>
          <w:p>
            <w:r>
              <w:rPr>
                <w:b/>
                <w:color w:val="17365D"/>
                <w:sz w:val="18"/>
              </w:rPr>
              <w:t>Layer</w:t>
            </w:r>
          </w:p>
        </w:tc>
        <w:tc>
          <w:tcPr>
            <w:tcW w:type="dxa" w:w="7260"/>
            <w:shd w:fill="E8EEF5"/>
            <w:vAlign w:val="center"/>
            <w:tcMar>
              <w:top w:w="80" w:type="dxa"/>
              <w:start w:w="120" w:type="dxa"/>
              <w:bottom w:w="80" w:type="dxa"/>
              <w:end w:w="120" w:type="dxa"/>
            </w:tcMar>
          </w:tcPr>
          <w:p>
            <w:r>
              <w:rPr>
                <w:b/>
                <w:color w:val="17365D"/>
                <w:sz w:val="18"/>
              </w:rPr>
              <w:t>Required test</w:t>
            </w:r>
          </w:p>
        </w:tc>
      </w:tr>
      <w:tr>
        <w:trPr>
          <w:cantSplit/>
        </w:trPr>
        <w:tc>
          <w:tcPr>
            <w:tcW w:type="dxa" w:w="2100"/>
            <w:vAlign w:val="top"/>
            <w:tcMar>
              <w:top w:w="80" w:type="dxa"/>
              <w:start w:w="120" w:type="dxa"/>
              <w:bottom w:w="80" w:type="dxa"/>
              <w:end w:w="120" w:type="dxa"/>
            </w:tcMar>
          </w:tcPr>
          <w:p>
            <w:pPr>
              <w:spacing w:after="0"/>
            </w:pPr>
            <w:r>
              <w:rPr>
                <w:sz w:val="18"/>
              </w:rPr>
              <w:t>Permission</w:t>
            </w:r>
          </w:p>
        </w:tc>
        <w:tc>
          <w:tcPr>
            <w:tcW w:type="dxa" w:w="7260"/>
            <w:vAlign w:val="top"/>
            <w:tcMar>
              <w:top w:w="80" w:type="dxa"/>
              <w:start w:w="120" w:type="dxa"/>
              <w:bottom w:w="80" w:type="dxa"/>
              <w:end w:w="120" w:type="dxa"/>
            </w:tcMar>
          </w:tcPr>
          <w:p>
            <w:pPr>
              <w:spacing w:after="0"/>
            </w:pPr>
            <w:r>
              <w:rPr>
                <w:sz w:val="18"/>
              </w:rPr>
              <w:t>Is the account, mailbox, label or folder explicitly authorised for access?</w:t>
            </w:r>
          </w:p>
        </w:tc>
      </w:tr>
      <w:tr>
        <w:trPr>
          <w:cantSplit/>
        </w:trPr>
        <w:tc>
          <w:tcPr>
            <w:tcW w:type="dxa" w:w="2100"/>
            <w:vAlign w:val="top"/>
            <w:tcMar>
              <w:top w:w="80" w:type="dxa"/>
              <w:start w:w="120" w:type="dxa"/>
              <w:bottom w:w="80" w:type="dxa"/>
              <w:end w:w="120" w:type="dxa"/>
            </w:tcMar>
          </w:tcPr>
          <w:p>
            <w:pPr>
              <w:spacing w:after="0"/>
            </w:pPr>
            <w:r>
              <w:rPr>
                <w:sz w:val="18"/>
              </w:rPr>
              <w:t>Exclusion</w:t>
            </w:r>
          </w:p>
        </w:tc>
        <w:tc>
          <w:tcPr>
            <w:tcW w:type="dxa" w:w="7260"/>
            <w:vAlign w:val="top"/>
            <w:tcMar>
              <w:top w:w="80" w:type="dxa"/>
              <w:start w:w="120" w:type="dxa"/>
              <w:bottom w:w="80" w:type="dxa"/>
              <w:end w:w="120" w:type="dxa"/>
            </w:tcMar>
          </w:tcPr>
          <w:p>
            <w:pPr>
              <w:spacing w:after="0"/>
            </w:pPr>
            <w:r>
              <w:rPr>
                <w:sz w:val="18"/>
              </w:rPr>
              <w:t>Is the message spam, marketing, automated noise, personal correspondence or from an excluded source?</w:t>
            </w:r>
          </w:p>
        </w:tc>
      </w:tr>
      <w:tr>
        <w:trPr>
          <w:cantSplit/>
        </w:trPr>
        <w:tc>
          <w:tcPr>
            <w:tcW w:type="dxa" w:w="2100"/>
            <w:vAlign w:val="top"/>
            <w:tcMar>
              <w:top w:w="80" w:type="dxa"/>
              <w:start w:w="120" w:type="dxa"/>
              <w:bottom w:w="80" w:type="dxa"/>
              <w:end w:w="120" w:type="dxa"/>
            </w:tcMar>
          </w:tcPr>
          <w:p>
            <w:pPr>
              <w:spacing w:after="0"/>
            </w:pPr>
            <w:r>
              <w:rPr>
                <w:sz w:val="18"/>
              </w:rPr>
              <w:t>Identity</w:t>
            </w:r>
          </w:p>
        </w:tc>
        <w:tc>
          <w:tcPr>
            <w:tcW w:type="dxa" w:w="7260"/>
            <w:vAlign w:val="top"/>
            <w:tcMar>
              <w:top w:w="80" w:type="dxa"/>
              <w:start w:w="120" w:type="dxa"/>
              <w:bottom w:w="80" w:type="dxa"/>
              <w:end w:w="120" w:type="dxa"/>
            </w:tcMar>
          </w:tcPr>
          <w:p>
            <w:pPr>
              <w:spacing w:after="0"/>
            </w:pPr>
            <w:r>
              <w:rPr>
                <w:sz w:val="18"/>
              </w:rPr>
              <w:t>Do participants match known vendors, employees, approvers or sourcing contacts?</w:t>
            </w:r>
          </w:p>
        </w:tc>
      </w:tr>
      <w:tr>
        <w:trPr>
          <w:cantSplit/>
        </w:trPr>
        <w:tc>
          <w:tcPr>
            <w:tcW w:type="dxa" w:w="2100"/>
            <w:vAlign w:val="top"/>
            <w:tcMar>
              <w:top w:w="80" w:type="dxa"/>
              <w:start w:w="120" w:type="dxa"/>
              <w:bottom w:w="80" w:type="dxa"/>
              <w:end w:w="120" w:type="dxa"/>
            </w:tcMar>
          </w:tcPr>
          <w:p>
            <w:pPr>
              <w:spacing w:after="0"/>
            </w:pPr>
            <w:r>
              <w:rPr>
                <w:sz w:val="18"/>
              </w:rPr>
              <w:t>Controlled reference</w:t>
            </w:r>
          </w:p>
        </w:tc>
        <w:tc>
          <w:tcPr>
            <w:tcW w:type="dxa" w:w="7260"/>
            <w:vAlign w:val="top"/>
            <w:tcMar>
              <w:top w:w="80" w:type="dxa"/>
              <w:start w:w="120" w:type="dxa"/>
              <w:bottom w:w="80" w:type="dxa"/>
              <w:end w:w="120" w:type="dxa"/>
            </w:tcMar>
          </w:tcPr>
          <w:p>
            <w:pPr>
              <w:spacing w:after="0"/>
            </w:pPr>
            <w:r>
              <w:rPr>
                <w:sz w:val="18"/>
              </w:rPr>
              <w:t>Does the message contain an event, contract, vendor, lane, shipment, claim or corrective-action identifier?</w:t>
            </w:r>
          </w:p>
        </w:tc>
      </w:tr>
      <w:tr>
        <w:trPr>
          <w:cantSplit/>
        </w:trPr>
        <w:tc>
          <w:tcPr>
            <w:tcW w:type="dxa" w:w="2100"/>
            <w:vAlign w:val="top"/>
            <w:tcMar>
              <w:top w:w="80" w:type="dxa"/>
              <w:start w:w="120" w:type="dxa"/>
              <w:bottom w:w="80" w:type="dxa"/>
              <w:end w:w="120" w:type="dxa"/>
            </w:tcMar>
          </w:tcPr>
          <w:p>
            <w:pPr>
              <w:spacing w:after="0"/>
            </w:pPr>
            <w:r>
              <w:rPr>
                <w:sz w:val="18"/>
              </w:rPr>
              <w:t>Thread and context</w:t>
            </w:r>
          </w:p>
        </w:tc>
        <w:tc>
          <w:tcPr>
            <w:tcW w:type="dxa" w:w="7260"/>
            <w:vAlign w:val="top"/>
            <w:tcMar>
              <w:top w:w="80" w:type="dxa"/>
              <w:start w:w="120" w:type="dxa"/>
              <w:bottom w:w="80" w:type="dxa"/>
              <w:end w:w="120" w:type="dxa"/>
            </w:tcMar>
          </w:tcPr>
          <w:p>
            <w:pPr>
              <w:spacing w:after="0"/>
            </w:pPr>
            <w:r>
              <w:rPr>
                <w:sz w:val="18"/>
              </w:rPr>
              <w:t>Does the subject, thread and surrounding evidence relate to an existing procurement object?</w:t>
            </w:r>
          </w:p>
        </w:tc>
      </w:tr>
      <w:tr>
        <w:trPr>
          <w:cantSplit/>
        </w:trPr>
        <w:tc>
          <w:tcPr>
            <w:tcW w:type="dxa" w:w="2100"/>
            <w:vAlign w:val="top"/>
            <w:tcMar>
              <w:top w:w="80" w:type="dxa"/>
              <w:start w:w="120" w:type="dxa"/>
              <w:bottom w:w="80" w:type="dxa"/>
              <w:end w:w="120" w:type="dxa"/>
            </w:tcMar>
          </w:tcPr>
          <w:p>
            <w:pPr>
              <w:spacing w:after="0"/>
            </w:pPr>
            <w:r>
              <w:rPr>
                <w:sz w:val="18"/>
              </w:rPr>
              <w:t>Content</w:t>
            </w:r>
          </w:p>
        </w:tc>
        <w:tc>
          <w:tcPr>
            <w:tcW w:type="dxa" w:w="7260"/>
            <w:vAlign w:val="top"/>
            <w:tcMar>
              <w:top w:w="80" w:type="dxa"/>
              <w:start w:w="120" w:type="dxa"/>
              <w:bottom w:w="80" w:type="dxa"/>
              <w:end w:w="120" w:type="dxa"/>
            </w:tcMar>
          </w:tcPr>
          <w:p>
            <w:pPr>
              <w:spacing w:after="0"/>
            </w:pPr>
            <w:r>
              <w:rPr>
                <w:sz w:val="18"/>
              </w:rPr>
              <w:t>Does it contain procurement-relevant requirements, pricing, bids, clarifications, commitments, approvals, incidents or actions?</w:t>
            </w:r>
          </w:p>
        </w:tc>
      </w:tr>
      <w:tr>
        <w:trPr>
          <w:cantSplit/>
        </w:trPr>
        <w:tc>
          <w:tcPr>
            <w:tcW w:type="dxa" w:w="2100"/>
            <w:vAlign w:val="top"/>
            <w:tcMar>
              <w:top w:w="80" w:type="dxa"/>
              <w:start w:w="120" w:type="dxa"/>
              <w:bottom w:w="80" w:type="dxa"/>
              <w:end w:w="120" w:type="dxa"/>
            </w:tcMar>
          </w:tcPr>
          <w:p>
            <w:pPr>
              <w:spacing w:after="0"/>
            </w:pPr>
            <w:r>
              <w:rPr>
                <w:sz w:val="18"/>
              </w:rPr>
              <w:t>Attachment</w:t>
            </w:r>
          </w:p>
        </w:tc>
        <w:tc>
          <w:tcPr>
            <w:tcW w:type="dxa" w:w="7260"/>
            <w:vAlign w:val="top"/>
            <w:tcMar>
              <w:top w:w="80" w:type="dxa"/>
              <w:start w:w="120" w:type="dxa"/>
              <w:bottom w:w="80" w:type="dxa"/>
              <w:end w:w="120" w:type="dxa"/>
            </w:tcMar>
          </w:tcPr>
          <w:p>
            <w:pPr>
              <w:spacing w:after="0"/>
            </w:pPr>
            <w:r>
              <w:rPr>
                <w:sz w:val="18"/>
              </w:rPr>
              <w:t>Is each attachment itself relevant, current and safe to associate with the proposed object?</w:t>
            </w:r>
          </w:p>
        </w:tc>
      </w:tr>
      <w:tr>
        <w:trPr>
          <w:cantSplit/>
        </w:trPr>
        <w:tc>
          <w:tcPr>
            <w:tcW w:type="dxa" w:w="2100"/>
            <w:vAlign w:val="top"/>
            <w:tcMar>
              <w:top w:w="80" w:type="dxa"/>
              <w:start w:w="120" w:type="dxa"/>
              <w:bottom w:w="80" w:type="dxa"/>
              <w:end w:w="120" w:type="dxa"/>
            </w:tcMar>
          </w:tcPr>
          <w:p>
            <w:pPr>
              <w:spacing w:after="0"/>
            </w:pPr>
            <w:r>
              <w:rPr>
                <w:sz w:val="18"/>
              </w:rPr>
              <w:t>Confidence</w:t>
            </w:r>
          </w:p>
        </w:tc>
        <w:tc>
          <w:tcPr>
            <w:tcW w:type="dxa" w:w="7260"/>
            <w:vAlign w:val="top"/>
            <w:tcMar>
              <w:top w:w="80" w:type="dxa"/>
              <w:start w:w="120" w:type="dxa"/>
              <w:bottom w:w="80" w:type="dxa"/>
              <w:end w:w="120" w:type="dxa"/>
            </w:tcMar>
          </w:tcPr>
          <w:p>
            <w:pPr>
              <w:spacing w:after="0"/>
            </w:pPr>
            <w:r>
              <w:rPr>
                <w:sz w:val="18"/>
              </w:rPr>
              <w:t>Is the combined evidence sufficient for automatic attachment, or is human review required?</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F4F6F9"/>
            <w:tcMar>
              <w:top w:w="80" w:type="dxa"/>
              <w:start w:w="120" w:type="dxa"/>
              <w:bottom w:w="80" w:type="dxa"/>
              <w:end w:w="120" w:type="dxa"/>
            </w:tcMar>
          </w:tcPr>
          <w:p>
            <w:r/>
            <w:r>
              <w:rPr>
                <w:b/>
                <w:color w:val="17365D"/>
              </w:rPr>
              <w:t xml:space="preserve">Classification outcomes: </w:t>
            </w:r>
            <w:r>
              <w:t>Confirmed Relevant messages may be processed and attached; Potentially Relevant messages enter a review queue and cannot influence decisions; Not Relevant messages are ignored and their content is not copied into Compass.</w:t>
            </w:r>
          </w:p>
        </w:tc>
      </w:tr>
    </w:tbl>
    <w:p>
      <w:pPr>
        <w:spacing w:after="0"/>
      </w:pPr>
    </w:p>
    <w:p>
      <w:pPr>
        <w:pStyle w:val="Heading2"/>
      </w:pPr>
      <w:r>
        <w:t>11.2 Outgoing supplier communications</w:t>
      </w:r>
    </w:p>
    <w:p>
      <w:pPr>
        <w:pStyle w:val="ListBullet"/>
      </w:pPr>
      <w:r>
        <w:t>Draft communications only from governed event, contract, vendor or performance data.</w:t>
      </w:r>
    </w:p>
    <w:p>
      <w:pPr>
        <w:pStyle w:val="ListBullet"/>
      </w:pPr>
      <w:r>
        <w:t>Support invitations, clarification requests and responses, reminders, addenda, negotiation messages, award notifications, performance reviews and corrective-action requests.</w:t>
      </w:r>
    </w:p>
    <w:p>
      <w:pPr>
        <w:pStyle w:val="ListBullet"/>
      </w:pPr>
      <w:r>
        <w:t>Validate recipient identity and vendor association, sender authority, attachment version, dates, lanes, volumes, currency and commercial facts before approval.</w:t>
      </w:r>
    </w:p>
    <w:p>
      <w:pPr>
        <w:pStyle w:val="ListBullet"/>
      </w:pPr>
      <w:r>
        <w:t>Detect potential disclosure of another bidder's confidential information and block sending until resolved.</w:t>
      </w:r>
    </w:p>
    <w:p>
      <w:pPr>
        <w:pStyle w:val="ListBullet"/>
      </w:pPr>
      <w:r>
        <w:t>Require an explicit human review and send approval; Compass must not silently or autonomously communicate externally.</w:t>
      </w:r>
    </w:p>
    <w:p>
      <w:pPr>
        <w:pStyle w:val="ListBullet"/>
      </w:pPr>
      <w:r>
        <w:t>Preserve the approved and sent version, attachments, recipients, timestamp and delivery status against the relevant procurement object.</w:t>
      </w:r>
    </w:p>
    <w:p>
      <w:pPr>
        <w:pStyle w:val="ListBullet"/>
      </w:pPr>
      <w:r>
        <w:t>When a clarification changes material requirements, recommend an anonymized and consistent notice to all affected bidders.</w:t>
      </w:r>
    </w:p>
    <w:p>
      <w:pPr>
        <w:pStyle w:val="Heading2"/>
      </w:pPr>
      <w:r>
        <w:t>11.3 Limited-prototype Gmail approach</w:t>
      </w:r>
    </w:p>
    <w:p>
      <w:r>
        <w:t>The prototype should use a dedicated demonstration Gmail inbox populated with controlled synthetic messages and attachments. A Gmail API connection may demonstrate read-only ingestion plus draft creation or approved sending; it must not require access to a real employee mailbox. The inbox will contain both procurement-relevant content and deliberate noise so filtering performance and review behaviour are visible.</w:t>
      </w:r>
    </w:p>
    <w:p>
      <w:pPr>
        <w:pStyle w:val="Heading1"/>
      </w:pPr>
      <w:r>
        <w:t>11.4 Source grounded RFP and ITT generation</w:t>
      </w:r>
    </w:p>
    <w:p>
      <w:r>
        <w:t>Compass must create the RFP/ITT from separate authoritative source documents and structured data in the same manner that Future Energy creates an ITT from QA, product, legal and commercial evidence. A pre-written RFP may exist only as an expected-output test fixture and must never be accessible to the generation process.</w:t>
      </w: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20"/>
        <w:gridCol w:w="3120"/>
        <w:gridCol w:w="3120"/>
      </w:tblGrid>
      <w:tr>
        <w:tc>
          <w:tcPr>
            <w:tcW w:type="dxa" w:w="3120"/>
            <w:vAlign w:val="center"/>
            <w:shd w:fill="1F4E79"/>
          </w:tcPr>
          <w:p>
            <w:r>
              <w:rPr>
                <w:b/>
                <w:color w:val="FFFFFF"/>
                <w:sz w:val="18"/>
              </w:rPr>
              <w:t>Evidence class</w:t>
            </w:r>
          </w:p>
        </w:tc>
        <w:tc>
          <w:tcPr>
            <w:tcW w:type="dxa" w:w="3120"/>
            <w:vAlign w:val="center"/>
            <w:shd w:fill="1F4E79"/>
          </w:tcPr>
          <w:p>
            <w:r>
              <w:rPr>
                <w:b/>
                <w:color w:val="FFFFFF"/>
                <w:sz w:val="18"/>
              </w:rPr>
              <w:t>Required contents</w:t>
            </w:r>
          </w:p>
        </w:tc>
        <w:tc>
          <w:tcPr>
            <w:tcW w:type="dxa" w:w="3120"/>
            <w:vAlign w:val="center"/>
            <w:shd w:fill="1F4E79"/>
          </w:tcPr>
          <w:p>
            <w:r>
              <w:rPr>
                <w:b/>
                <w:color w:val="FFFFFF"/>
                <w:sz w:val="18"/>
              </w:rPr>
              <w:t>Treatment</w:t>
            </w:r>
          </w:p>
        </w:tc>
      </w:tr>
      <w:tr>
        <w:tc>
          <w:tcPr>
            <w:tcW w:type="dxa" w:w="3120"/>
            <w:vAlign w:val="center"/>
          </w:tcPr>
          <w:p>
            <w:r>
              <w:rPr>
                <w:sz w:val="18"/>
              </w:rPr>
              <w:t>Authoritative source documents</w:t>
            </w:r>
          </w:p>
        </w:tc>
        <w:tc>
          <w:tcPr>
            <w:tcW w:type="dxa" w:w="3120"/>
            <w:vAlign w:val="center"/>
          </w:tcPr>
          <w:p>
            <w:r>
              <w:rPr>
                <w:sz w:val="18"/>
              </w:rPr>
              <w:t>Synthetic logistics specification, SLA standard, procurement policy, contract terms, pricing rules, technology/data requirements, sustainability requirements, supplier qualification standard, existing contract and historical service review.</w:t>
            </w:r>
          </w:p>
        </w:tc>
        <w:tc>
          <w:tcPr>
            <w:tcW w:type="dxa" w:w="3120"/>
            <w:vAlign w:val="center"/>
          </w:tcPr>
          <w:p>
            <w:r>
              <w:rPr>
                <w:sz w:val="18"/>
              </w:rPr>
              <w:t>Input</w:t>
            </w:r>
          </w:p>
        </w:tc>
      </w:tr>
      <w:tr>
        <w:tc>
          <w:tcPr>
            <w:tcW w:type="dxa" w:w="3120"/>
            <w:vAlign w:val="center"/>
            <w:shd w:fill="F2F6FA"/>
          </w:tcPr>
          <w:p>
            <w:r>
              <w:rPr>
                <w:sz w:val="18"/>
              </w:rPr>
              <w:t>Structured source data</w:t>
            </w:r>
          </w:p>
        </w:tc>
        <w:tc>
          <w:tcPr>
            <w:tcW w:type="dxa" w:w="3120"/>
            <w:vAlign w:val="center"/>
            <w:shd w:fill="F2F6FA"/>
          </w:tcPr>
          <w:p>
            <w:r>
              <w:rPr>
                <w:sz w:val="18"/>
              </w:rPr>
              <w:t>Lanes and forecast volumes, suppliers, contracts, shipments, invoices, claims and incidents.</w:t>
            </w:r>
          </w:p>
        </w:tc>
        <w:tc>
          <w:tcPr>
            <w:tcW w:type="dxa" w:w="3120"/>
            <w:vAlign w:val="center"/>
            <w:shd w:fill="F2F6FA"/>
          </w:tcPr>
          <w:p>
            <w:r>
              <w:rPr>
                <w:sz w:val="18"/>
              </w:rPr>
              <w:t>Input</w:t>
            </w:r>
          </w:p>
        </w:tc>
      </w:tr>
      <w:tr>
        <w:tc>
          <w:tcPr>
            <w:tcW w:type="dxa" w:w="3120"/>
            <w:vAlign w:val="center"/>
          </w:tcPr>
          <w:p>
            <w:r>
              <w:rPr>
                <w:sz w:val="18"/>
              </w:rPr>
              <w:t>Scenario evidence</w:t>
            </w:r>
          </w:p>
        </w:tc>
        <w:tc>
          <w:tcPr>
            <w:tcW w:type="dxa" w:w="3120"/>
            <w:vAlign w:val="center"/>
          </w:tcPr>
          <w:p>
            <w:r>
              <w:rPr>
                <w:sz w:val="18"/>
              </w:rPr>
              <w:t>Supplier emails, clarification questions, bids, revised rate cards and later execution records loaded by the internal replay fixture.</w:t>
            </w:r>
          </w:p>
        </w:tc>
        <w:tc>
          <w:tcPr>
            <w:tcW w:type="dxa" w:w="3120"/>
            <w:vAlign w:val="center"/>
          </w:tcPr>
          <w:p>
            <w:r>
              <w:rPr>
                <w:sz w:val="18"/>
              </w:rPr>
              <w:t>Input when released</w:t>
            </w:r>
          </w:p>
        </w:tc>
      </w:tr>
      <w:tr>
        <w:tc>
          <w:tcPr>
            <w:tcW w:type="dxa" w:w="3120"/>
            <w:vAlign w:val="center"/>
            <w:shd w:fill="F2F6FA"/>
          </w:tcPr>
          <w:p>
            <w:r>
              <w:rPr>
                <w:sz w:val="18"/>
              </w:rPr>
              <w:t>Extracted requirement register</w:t>
            </w:r>
          </w:p>
        </w:tc>
        <w:tc>
          <w:tcPr>
            <w:tcW w:type="dxa" w:w="3120"/>
            <w:vAlign w:val="center"/>
            <w:shd w:fill="F2F6FA"/>
          </w:tcPr>
          <w:p>
            <w:r>
              <w:rPr>
                <w:sz w:val="18"/>
              </w:rPr>
              <w:t>Requirement, source document, section, quotation/paraphrase, confidence, status and user decision.</w:t>
            </w:r>
          </w:p>
        </w:tc>
        <w:tc>
          <w:tcPr>
            <w:tcW w:type="dxa" w:w="3120"/>
            <w:vAlign w:val="center"/>
            <w:shd w:fill="F2F6FA"/>
          </w:tcPr>
          <w:p>
            <w:r>
              <w:rPr>
                <w:sz w:val="18"/>
              </w:rPr>
              <w:t>Compass generated</w:t>
            </w:r>
          </w:p>
        </w:tc>
      </w:tr>
      <w:tr>
        <w:tc>
          <w:tcPr>
            <w:tcW w:type="dxa" w:w="3120"/>
            <w:vAlign w:val="center"/>
          </w:tcPr>
          <w:p>
            <w:r>
              <w:rPr>
                <w:sz w:val="18"/>
              </w:rPr>
              <w:t>RFP/ITT</w:t>
            </w:r>
          </w:p>
        </w:tc>
        <w:tc>
          <w:tcPr>
            <w:tcW w:type="dxa" w:w="3120"/>
            <w:vAlign w:val="center"/>
          </w:tcPr>
          <w:p>
            <w:r>
              <w:rPr>
                <w:sz w:val="18"/>
              </w:rPr>
              <w:t>British English and German drafts assembled from approved extracted requirements and structured operating data.</w:t>
            </w:r>
          </w:p>
        </w:tc>
        <w:tc>
          <w:tcPr>
            <w:tcW w:type="dxa" w:w="3120"/>
            <w:vAlign w:val="center"/>
          </w:tcPr>
          <w:p>
            <w:r>
              <w:rPr>
                <w:sz w:val="18"/>
              </w:rPr>
              <w:t>Compass generated</w:t>
            </w:r>
          </w:p>
        </w:tc>
      </w:tr>
      <w:tr>
        <w:tc>
          <w:tcPr>
            <w:tcW w:type="dxa" w:w="3120"/>
            <w:vAlign w:val="center"/>
            <w:shd w:fill="F2F6FA"/>
          </w:tcPr>
          <w:p>
            <w:r>
              <w:rPr>
                <w:sz w:val="18"/>
              </w:rPr>
              <w:t>Decision outputs</w:t>
            </w:r>
          </w:p>
        </w:tc>
        <w:tc>
          <w:tcPr>
            <w:tcW w:type="dxa" w:w="3120"/>
            <w:vAlign w:val="center"/>
            <w:shd w:fill="F2F6FA"/>
          </w:tcPr>
          <w:p>
            <w:r>
              <w:rPr>
                <w:sz w:val="18"/>
              </w:rPr>
              <w:t>Email classifications, bid normalisation, qualification, scores, award recommendation, approvals, performance scores and corrective actions.</w:t>
            </w:r>
          </w:p>
        </w:tc>
        <w:tc>
          <w:tcPr>
            <w:tcW w:type="dxa" w:w="3120"/>
            <w:vAlign w:val="center"/>
            <w:shd w:fill="F2F6FA"/>
          </w:tcPr>
          <w:p>
            <w:r>
              <w:rPr>
                <w:sz w:val="18"/>
              </w:rPr>
              <w:t>Compass generated</w:t>
            </w:r>
          </w:p>
        </w:tc>
      </w:tr>
    </w:tbl>
    <w:p>
      <w:pPr>
        <w:pStyle w:val="ListBullet"/>
      </w:pPr>
      <w:r>
        <w:t>Changing an approved source requirement must create a new requirement and RFP/ITT version with traceable impact.</w:t>
      </w:r>
    </w:p>
    <w:p>
      <w:pPr>
        <w:pStyle w:val="ListBullet"/>
      </w:pPr>
      <w:r>
        <w:t>The generated RFP/ITT and expected-output fixtures must be stored separately from all generation inputs.</w:t>
      </w:r>
    </w:p>
    <w:p>
      <w:pPr>
        <w:pStyle w:val="ListBullet"/>
      </w:pPr>
      <w:r>
        <w:t>Conflicting or incomplete sources create a review item; Compass must not silently choose or invent a requirement.</w:t>
      </w:r>
    </w:p>
    <w:p>
      <w:pPr>
        <w:pStyle w:val="ListBullet"/>
      </w:pPr>
      <w:r>
        <w:t>Compass must distinguish extracted source facts, deterministic transformations, agent-drafted language and user-approved additions.</w:t>
      </w:r>
    </w:p>
    <w:p>
      <w:pPr>
        <w:pStyle w:val="ListBullet"/>
      </w:pPr>
      <w:r>
        <w:t>Every generated requirement must cite at least one source document section, structured record or explicit user decision.</w:t>
      </w:r>
    </w:p>
    <w:p>
      <w:pPr>
        <w:pStyle w:val="Heading1"/>
      </w:pPr>
      <w:r>
        <w:t>12. Data Requirements and Lineage</w:t>
      </w:r>
    </w:p>
    <w:tbl>
      <w:tblPr>
        <w:tblStyle w:val="TableGrid"/>
        <w:tblW w:type="dxa" w:w="9360"/>
        <w:jc w:val="left"/>
        <w:tblLayout w:type="fixed"/>
        <w:tblLook w:firstColumn="1" w:firstRow="1" w:lastColumn="0" w:lastRow="0" w:noHBand="0" w:noVBand="1" w:val="04A0"/>
        <w:tblInd w:w="120" w:type="dxa"/>
      </w:tblPr>
      <w:tblGrid>
        <w:gridCol w:w="1700"/>
        <w:gridCol w:w="4860"/>
        <w:gridCol w:w="2800"/>
      </w:tblGrid>
      <w:tr>
        <w:trPr>
          <w:tblHeader w:val="true"/>
        </w:trPr>
        <w:tc>
          <w:tcPr>
            <w:tcW w:type="dxa" w:w="1700"/>
            <w:shd w:fill="E8EEF5"/>
            <w:vAlign w:val="center"/>
            <w:tcMar>
              <w:top w:w="80" w:type="dxa"/>
              <w:start w:w="120" w:type="dxa"/>
              <w:bottom w:w="80" w:type="dxa"/>
              <w:end w:w="120" w:type="dxa"/>
            </w:tcMar>
          </w:tcPr>
          <w:p>
            <w:r>
              <w:rPr>
                <w:b/>
                <w:color w:val="17365D"/>
                <w:sz w:val="16"/>
              </w:rPr>
              <w:t>Data domain</w:t>
            </w:r>
          </w:p>
        </w:tc>
        <w:tc>
          <w:tcPr>
            <w:tcW w:type="dxa" w:w="4860"/>
            <w:shd w:fill="E8EEF5"/>
            <w:vAlign w:val="center"/>
            <w:tcMar>
              <w:top w:w="80" w:type="dxa"/>
              <w:start w:w="120" w:type="dxa"/>
              <w:bottom w:w="80" w:type="dxa"/>
              <w:end w:w="120" w:type="dxa"/>
            </w:tcMar>
          </w:tcPr>
          <w:p>
            <w:r>
              <w:rPr>
                <w:b/>
                <w:color w:val="17365D"/>
                <w:sz w:val="16"/>
              </w:rPr>
              <w:t>Minimum prototype fields / examples</w:t>
            </w:r>
          </w:p>
        </w:tc>
        <w:tc>
          <w:tcPr>
            <w:tcW w:type="dxa" w:w="2800"/>
            <w:shd w:fill="E8EEF5"/>
            <w:vAlign w:val="center"/>
            <w:tcMar>
              <w:top w:w="80" w:type="dxa"/>
              <w:start w:w="120" w:type="dxa"/>
              <w:bottom w:w="80" w:type="dxa"/>
              <w:end w:w="120" w:type="dxa"/>
            </w:tcMar>
          </w:tcPr>
          <w:p>
            <w:r>
              <w:rPr>
                <w:b/>
                <w:color w:val="17365D"/>
                <w:sz w:val="16"/>
              </w:rPr>
              <w:t>Illustrative source</w:t>
            </w:r>
          </w:p>
        </w:tc>
      </w:tr>
      <w:tr>
        <w:trPr>
          <w:cantSplit/>
        </w:trPr>
        <w:tc>
          <w:tcPr>
            <w:tcW w:type="dxa" w:w="1700"/>
            <w:vAlign w:val="top"/>
            <w:tcMar>
              <w:top w:w="80" w:type="dxa"/>
              <w:start w:w="120" w:type="dxa"/>
              <w:bottom w:w="80" w:type="dxa"/>
              <w:end w:w="120" w:type="dxa"/>
            </w:tcMar>
          </w:tcPr>
          <w:p>
            <w:pPr>
              <w:spacing w:after="0"/>
            </w:pPr>
            <w:r>
              <w:rPr>
                <w:sz w:val="16"/>
              </w:rPr>
              <w:t>Vendor master</w:t>
            </w:r>
          </w:p>
        </w:tc>
        <w:tc>
          <w:tcPr>
            <w:tcW w:type="dxa" w:w="4860"/>
            <w:vAlign w:val="top"/>
            <w:tcMar>
              <w:top w:w="80" w:type="dxa"/>
              <w:start w:w="120" w:type="dxa"/>
              <w:bottom w:w="80" w:type="dxa"/>
              <w:end w:w="120" w:type="dxa"/>
            </w:tcMar>
          </w:tcPr>
          <w:p>
            <w:pPr>
              <w:spacing w:after="0"/>
            </w:pPr>
            <w:r>
              <w:rPr>
                <w:sz w:val="16"/>
              </w:rPr>
              <w:t>Vendor ID, name, services, region, status, relationship dates</w:t>
            </w:r>
          </w:p>
        </w:tc>
        <w:tc>
          <w:tcPr>
            <w:tcW w:type="dxa" w:w="2800"/>
            <w:vAlign w:val="top"/>
            <w:tcMar>
              <w:top w:w="80" w:type="dxa"/>
              <w:start w:w="120" w:type="dxa"/>
              <w:bottom w:w="80" w:type="dxa"/>
              <w:end w:w="120" w:type="dxa"/>
            </w:tcMar>
          </w:tcPr>
          <w:p>
            <w:pPr>
              <w:spacing w:after="0"/>
            </w:pPr>
            <w:r>
              <w:rPr>
                <w:sz w:val="16"/>
              </w:rPr>
              <w:t>Vendor master / synthetic feed</w:t>
            </w:r>
          </w:p>
        </w:tc>
      </w:tr>
      <w:tr>
        <w:trPr>
          <w:cantSplit/>
        </w:trPr>
        <w:tc>
          <w:tcPr>
            <w:tcW w:type="dxa" w:w="1700"/>
            <w:vAlign w:val="top"/>
            <w:tcMar>
              <w:top w:w="80" w:type="dxa"/>
              <w:start w:w="120" w:type="dxa"/>
              <w:bottom w:w="80" w:type="dxa"/>
              <w:end w:w="120" w:type="dxa"/>
            </w:tcMar>
          </w:tcPr>
          <w:p>
            <w:pPr>
              <w:spacing w:after="0"/>
            </w:pPr>
            <w:r>
              <w:rPr>
                <w:sz w:val="16"/>
              </w:rPr>
              <w:t>Contracts</w:t>
            </w:r>
          </w:p>
        </w:tc>
        <w:tc>
          <w:tcPr>
            <w:tcW w:type="dxa" w:w="4860"/>
            <w:vAlign w:val="top"/>
            <w:tcMar>
              <w:top w:w="80" w:type="dxa"/>
              <w:start w:w="120" w:type="dxa"/>
              <w:bottom w:w="80" w:type="dxa"/>
              <w:end w:w="120" w:type="dxa"/>
            </w:tcMar>
          </w:tcPr>
          <w:p>
            <w:pPr>
              <w:spacing w:after="0"/>
            </w:pPr>
            <w:r>
              <w:rPr>
                <w:sz w:val="16"/>
              </w:rPr>
              <w:t>Contract ID, dates, lanes, rates, SLAs/KPIs, thresholds, governance and renewal terms</w:t>
            </w:r>
          </w:p>
        </w:tc>
        <w:tc>
          <w:tcPr>
            <w:tcW w:type="dxa" w:w="2800"/>
            <w:vAlign w:val="top"/>
            <w:tcMar>
              <w:top w:w="80" w:type="dxa"/>
              <w:start w:w="120" w:type="dxa"/>
              <w:bottom w:w="80" w:type="dxa"/>
              <w:end w:w="120" w:type="dxa"/>
            </w:tcMar>
          </w:tcPr>
          <w:p>
            <w:pPr>
              <w:spacing w:after="0"/>
            </w:pPr>
            <w:r>
              <w:rPr>
                <w:sz w:val="16"/>
              </w:rPr>
              <w:t>Contract repository</w:t>
            </w:r>
          </w:p>
        </w:tc>
      </w:tr>
      <w:tr>
        <w:trPr>
          <w:cantSplit/>
        </w:trPr>
        <w:tc>
          <w:tcPr>
            <w:tcW w:type="dxa" w:w="1700"/>
            <w:vAlign w:val="top"/>
            <w:tcMar>
              <w:top w:w="80" w:type="dxa"/>
              <w:start w:w="120" w:type="dxa"/>
              <w:bottom w:w="80" w:type="dxa"/>
              <w:end w:w="120" w:type="dxa"/>
            </w:tcMar>
          </w:tcPr>
          <w:p>
            <w:pPr>
              <w:spacing w:after="0"/>
            </w:pPr>
            <w:r>
              <w:rPr>
                <w:sz w:val="16"/>
              </w:rPr>
              <w:t>Historical spend/invoices</w:t>
            </w:r>
          </w:p>
        </w:tc>
        <w:tc>
          <w:tcPr>
            <w:tcW w:type="dxa" w:w="4860"/>
            <w:vAlign w:val="top"/>
            <w:tcMar>
              <w:top w:w="80" w:type="dxa"/>
              <w:start w:w="120" w:type="dxa"/>
              <w:bottom w:w="80" w:type="dxa"/>
              <w:end w:w="120" w:type="dxa"/>
            </w:tcMar>
          </w:tcPr>
          <w:p>
            <w:pPr>
              <w:spacing w:after="0"/>
            </w:pPr>
            <w:r>
              <w:rPr>
                <w:sz w:val="16"/>
              </w:rPr>
              <w:t>Vendor, lane, date, charge type, quantity, contracted rate, invoiced amount, currency</w:t>
            </w:r>
          </w:p>
        </w:tc>
        <w:tc>
          <w:tcPr>
            <w:tcW w:type="dxa" w:w="2800"/>
            <w:vAlign w:val="top"/>
            <w:tcMar>
              <w:top w:w="80" w:type="dxa"/>
              <w:start w:w="120" w:type="dxa"/>
              <w:bottom w:w="80" w:type="dxa"/>
              <w:end w:w="120" w:type="dxa"/>
            </w:tcMar>
          </w:tcPr>
          <w:p>
            <w:pPr>
              <w:spacing w:after="0"/>
            </w:pPr>
            <w:r>
              <w:rPr>
                <w:sz w:val="16"/>
              </w:rPr>
              <w:t>ERP / AP</w:t>
            </w:r>
          </w:p>
        </w:tc>
      </w:tr>
      <w:tr>
        <w:trPr>
          <w:cantSplit/>
        </w:trPr>
        <w:tc>
          <w:tcPr>
            <w:tcW w:type="dxa" w:w="1700"/>
            <w:vAlign w:val="top"/>
            <w:tcMar>
              <w:top w:w="80" w:type="dxa"/>
              <w:start w:w="120" w:type="dxa"/>
              <w:bottom w:w="80" w:type="dxa"/>
              <w:end w:w="120" w:type="dxa"/>
            </w:tcMar>
          </w:tcPr>
          <w:p>
            <w:pPr>
              <w:spacing w:after="0"/>
            </w:pPr>
            <w:r>
              <w:rPr>
                <w:sz w:val="16"/>
              </w:rPr>
              <w:t>Shipment execution</w:t>
            </w:r>
          </w:p>
        </w:tc>
        <w:tc>
          <w:tcPr>
            <w:tcW w:type="dxa" w:w="4860"/>
            <w:vAlign w:val="top"/>
            <w:tcMar>
              <w:top w:w="80" w:type="dxa"/>
              <w:start w:w="120" w:type="dxa"/>
              <w:bottom w:w="80" w:type="dxa"/>
              <w:end w:w="120" w:type="dxa"/>
            </w:tcMar>
          </w:tcPr>
          <w:p>
            <w:pPr>
              <w:spacing w:after="0"/>
            </w:pPr>
            <w:r>
              <w:rPr>
                <w:sz w:val="16"/>
              </w:rPr>
              <w:t>Shipment/lane, requested and actual pickup/delivery, acceptance, cancellation and service exception</w:t>
            </w:r>
          </w:p>
        </w:tc>
        <w:tc>
          <w:tcPr>
            <w:tcW w:type="dxa" w:w="2800"/>
            <w:vAlign w:val="top"/>
            <w:tcMar>
              <w:top w:w="80" w:type="dxa"/>
              <w:start w:w="120" w:type="dxa"/>
              <w:bottom w:w="80" w:type="dxa"/>
              <w:end w:w="120" w:type="dxa"/>
            </w:tcMar>
          </w:tcPr>
          <w:p>
            <w:pPr>
              <w:spacing w:after="0"/>
            </w:pPr>
            <w:r>
              <w:rPr>
                <w:sz w:val="16"/>
              </w:rPr>
              <w:t>TMS</w:t>
            </w:r>
          </w:p>
        </w:tc>
      </w:tr>
      <w:tr>
        <w:trPr>
          <w:cantSplit/>
        </w:trPr>
        <w:tc>
          <w:tcPr>
            <w:tcW w:type="dxa" w:w="1700"/>
            <w:vAlign w:val="top"/>
            <w:tcMar>
              <w:top w:w="80" w:type="dxa"/>
              <w:start w:w="120" w:type="dxa"/>
              <w:bottom w:w="80" w:type="dxa"/>
              <w:end w:w="120" w:type="dxa"/>
            </w:tcMar>
          </w:tcPr>
          <w:p>
            <w:pPr>
              <w:spacing w:after="0"/>
            </w:pPr>
            <w:r>
              <w:rPr>
                <w:sz w:val="16"/>
              </w:rPr>
              <w:t>Claims/incidents</w:t>
            </w:r>
          </w:p>
        </w:tc>
        <w:tc>
          <w:tcPr>
            <w:tcW w:type="dxa" w:w="4860"/>
            <w:vAlign w:val="top"/>
            <w:tcMar>
              <w:top w:w="80" w:type="dxa"/>
              <w:start w:w="120" w:type="dxa"/>
              <w:bottom w:w="80" w:type="dxa"/>
              <w:end w:w="120" w:type="dxa"/>
            </w:tcMar>
          </w:tcPr>
          <w:p>
            <w:pPr>
              <w:spacing w:after="0"/>
            </w:pPr>
            <w:r>
              <w:rPr>
                <w:sz w:val="16"/>
              </w:rPr>
              <w:t>Type, severity, date, shipment, cost, status and resolution</w:t>
            </w:r>
          </w:p>
        </w:tc>
        <w:tc>
          <w:tcPr>
            <w:tcW w:type="dxa" w:w="2800"/>
            <w:vAlign w:val="top"/>
            <w:tcMar>
              <w:top w:w="80" w:type="dxa"/>
              <w:start w:w="120" w:type="dxa"/>
              <w:bottom w:w="80" w:type="dxa"/>
              <w:end w:w="120" w:type="dxa"/>
            </w:tcMar>
          </w:tcPr>
          <w:p>
            <w:pPr>
              <w:spacing w:after="0"/>
            </w:pPr>
            <w:r>
              <w:rPr>
                <w:sz w:val="16"/>
              </w:rPr>
              <w:t>Claims / quality records</w:t>
            </w:r>
          </w:p>
        </w:tc>
      </w:tr>
      <w:tr>
        <w:trPr>
          <w:cantSplit/>
        </w:trPr>
        <w:tc>
          <w:tcPr>
            <w:tcW w:type="dxa" w:w="1700"/>
            <w:vAlign w:val="top"/>
            <w:tcMar>
              <w:top w:w="80" w:type="dxa"/>
              <w:start w:w="120" w:type="dxa"/>
              <w:bottom w:w="80" w:type="dxa"/>
              <w:end w:w="120" w:type="dxa"/>
            </w:tcMar>
          </w:tcPr>
          <w:p>
            <w:pPr>
              <w:spacing w:after="0"/>
            </w:pPr>
            <w:r>
              <w:rPr>
                <w:sz w:val="16"/>
              </w:rPr>
              <w:t>Sourcing events</w:t>
            </w:r>
          </w:p>
        </w:tc>
        <w:tc>
          <w:tcPr>
            <w:tcW w:type="dxa" w:w="4860"/>
            <w:vAlign w:val="top"/>
            <w:tcMar>
              <w:top w:w="80" w:type="dxa"/>
              <w:start w:w="120" w:type="dxa"/>
              <w:bottom w:w="80" w:type="dxa"/>
              <w:end w:w="120" w:type="dxa"/>
            </w:tcMar>
          </w:tcPr>
          <w:p>
            <w:pPr>
              <w:spacing w:after="0"/>
            </w:pPr>
            <w:r>
              <w:rPr>
                <w:sz w:val="16"/>
              </w:rPr>
              <w:t>Requirements, invited carriers, versions, clarifications, proposals, criteria, scores and award rationale</w:t>
            </w:r>
          </w:p>
        </w:tc>
        <w:tc>
          <w:tcPr>
            <w:tcW w:type="dxa" w:w="2800"/>
            <w:vAlign w:val="top"/>
            <w:tcMar>
              <w:top w:w="80" w:type="dxa"/>
              <w:start w:w="120" w:type="dxa"/>
              <w:bottom w:w="80" w:type="dxa"/>
              <w:end w:w="120" w:type="dxa"/>
            </w:tcMar>
          </w:tcPr>
          <w:p>
            <w:pPr>
              <w:spacing w:after="0"/>
            </w:pPr>
            <w:r>
              <w:rPr>
                <w:sz w:val="16"/>
              </w:rPr>
              <w:t>Sourcing system / prototype</w:t>
            </w:r>
          </w:p>
        </w:tc>
      </w:tr>
      <w:tr>
        <w:trPr>
          <w:cantSplit/>
        </w:trPr>
        <w:tc>
          <w:tcPr>
            <w:tcW w:type="dxa" w:w="1700"/>
            <w:vAlign w:val="top"/>
            <w:tcMar>
              <w:top w:w="80" w:type="dxa"/>
              <w:start w:w="120" w:type="dxa"/>
              <w:bottom w:w="80" w:type="dxa"/>
              <w:end w:w="120" w:type="dxa"/>
            </w:tcMar>
          </w:tcPr>
          <w:p>
            <w:pPr>
              <w:spacing w:after="0"/>
            </w:pPr>
            <w:r>
              <w:rPr>
                <w:sz w:val="16"/>
              </w:rPr>
              <w:t>Reviews/actions</w:t>
            </w:r>
          </w:p>
        </w:tc>
        <w:tc>
          <w:tcPr>
            <w:tcW w:type="dxa" w:w="4860"/>
            <w:vAlign w:val="top"/>
            <w:tcMar>
              <w:top w:w="80" w:type="dxa"/>
              <w:start w:w="120" w:type="dxa"/>
              <w:bottom w:w="80" w:type="dxa"/>
              <w:end w:w="120" w:type="dxa"/>
            </w:tcMar>
          </w:tcPr>
          <w:p>
            <w:pPr>
              <w:spacing w:after="0"/>
            </w:pPr>
            <w:r>
              <w:rPr>
                <w:sz w:val="16"/>
              </w:rPr>
              <w:t>Review date, structured ratings, notes, corrective actions, owner, due date, status and evidence</w:t>
            </w:r>
          </w:p>
        </w:tc>
        <w:tc>
          <w:tcPr>
            <w:tcW w:type="dxa" w:w="2800"/>
            <w:vAlign w:val="top"/>
            <w:tcMar>
              <w:top w:w="80" w:type="dxa"/>
              <w:start w:w="120" w:type="dxa"/>
              <w:bottom w:w="80" w:type="dxa"/>
              <w:end w:w="120" w:type="dxa"/>
            </w:tcMar>
          </w:tcPr>
          <w:p>
            <w:pPr>
              <w:spacing w:after="0"/>
            </w:pPr>
            <w:r>
              <w:rPr>
                <w:sz w:val="16"/>
              </w:rPr>
              <w:t>VMS / collaboration records</w:t>
            </w:r>
          </w:p>
        </w:tc>
      </w:tr>
      <w:tr>
        <w:trPr>
          <w:cantSplit/>
        </w:trPr>
        <w:tc>
          <w:tcPr>
            <w:tcW w:type="dxa" w:w="1700"/>
            <w:vAlign w:val="top"/>
            <w:tcMar>
              <w:top w:w="80" w:type="dxa"/>
              <w:start w:w="120" w:type="dxa"/>
              <w:bottom w:w="80" w:type="dxa"/>
              <w:end w:w="120" w:type="dxa"/>
            </w:tcMar>
          </w:tcPr>
          <w:p>
            <w:pPr>
              <w:spacing w:after="0"/>
            </w:pPr>
            <w:r>
              <w:rPr>
                <w:sz w:val="16"/>
              </w:rPr>
              <w:t>Email/communications</w:t>
            </w:r>
          </w:p>
        </w:tc>
        <w:tc>
          <w:tcPr>
            <w:tcW w:type="dxa" w:w="4860"/>
            <w:vAlign w:val="top"/>
            <w:tcMar>
              <w:top w:w="80" w:type="dxa"/>
              <w:start w:w="120" w:type="dxa"/>
              <w:bottom w:w="80" w:type="dxa"/>
              <w:end w:w="120" w:type="dxa"/>
            </w:tcMar>
          </w:tcPr>
          <w:p>
            <w:r>
              <w:t>Message/thread ID, participants, timestamp, subject, body reference, attachments, labels, classification, confidence, linked object, review/send status, source language, requested output language, translation status, glossary version and original-to-translation linkage</w:t>
            </w:r>
          </w:p>
        </w:tc>
        <w:tc>
          <w:tcPr>
            <w:tcW w:type="dxa" w:w="2800"/>
            <w:vAlign w:val="top"/>
            <w:tcMar>
              <w:top w:w="80" w:type="dxa"/>
              <w:start w:w="120" w:type="dxa"/>
              <w:bottom w:w="80" w:type="dxa"/>
              <w:end w:w="120" w:type="dxa"/>
            </w:tcMar>
          </w:tcPr>
          <w:p>
            <w:pPr>
              <w:spacing w:after="0"/>
            </w:pPr>
            <w:r>
              <w:rPr>
                <w:sz w:val="16"/>
              </w:rPr>
              <w:t>Authorised Gmail / Microsoft 365 mailbox</w:t>
            </w:r>
          </w:p>
        </w:tc>
      </w:tr>
      <w:tr>
        <w:trPr>
          <w:cantSplit/>
        </w:trPr>
        <w:tc>
          <w:tcPr>
            <w:tcW w:type="dxa" w:w="1700"/>
            <w:vAlign w:val="top"/>
            <w:tcMar>
              <w:top w:w="80" w:type="dxa"/>
              <w:start w:w="120" w:type="dxa"/>
              <w:bottom w:w="80" w:type="dxa"/>
              <w:end w:w="120" w:type="dxa"/>
            </w:tcMar>
          </w:tcPr>
          <w:p>
            <w:pPr>
              <w:spacing w:after="0"/>
            </w:pPr>
            <w:r>
              <w:rPr>
                <w:sz w:val="16"/>
              </w:rPr>
              <w:t>Reference data</w:t>
            </w:r>
          </w:p>
        </w:tc>
        <w:tc>
          <w:tcPr>
            <w:tcW w:type="dxa" w:w="4860"/>
            <w:vAlign w:val="top"/>
            <w:tcMar>
              <w:top w:w="80" w:type="dxa"/>
              <w:start w:w="120" w:type="dxa"/>
              <w:bottom w:w="80" w:type="dxa"/>
              <w:end w:w="120" w:type="dxa"/>
            </w:tcMar>
          </w:tcPr>
          <w:p>
            <w:pPr>
              <w:spacing w:after="0"/>
            </w:pPr>
            <w:r>
              <w:rPr>
                <w:sz w:val="16"/>
              </w:rPr>
              <w:t>Lane, geography, currency, unit, equipment and service definitions</w:t>
            </w:r>
          </w:p>
        </w:tc>
        <w:tc>
          <w:tcPr>
            <w:tcW w:type="dxa" w:w="2800"/>
            <w:vAlign w:val="top"/>
            <w:tcMar>
              <w:top w:w="80" w:type="dxa"/>
              <w:start w:w="120" w:type="dxa"/>
              <w:bottom w:w="80" w:type="dxa"/>
              <w:end w:w="120" w:type="dxa"/>
            </w:tcMar>
          </w:tcPr>
          <w:p>
            <w:pPr>
              <w:spacing w:after="0"/>
            </w:pPr>
            <w:r>
              <w:rPr>
                <w:sz w:val="16"/>
              </w:rPr>
              <w:t>Enterprise reference data</w:t>
            </w:r>
          </w:p>
        </w:tc>
      </w:tr>
      <w:tr>
        <w:trPr>
          <w:cantSplit/>
          <w:cantSplit/>
        </w:trPr>
        <w:tc>
          <w:tcPr>
            <w:tcW w:type="dxa" w:w="1700"/>
            <w:vAlign w:val="top"/>
            <w:tcMar>
              <w:top w:w="80" w:type="dxa"/>
              <w:start w:w="120" w:type="dxa"/>
              <w:bottom w:w="80" w:type="dxa"/>
              <w:end w:w="120" w:type="dxa"/>
            </w:tcMar>
          </w:tcPr>
          <w:p>
            <w:pPr/>
            <w:r>
              <w:rPr>
                <w:sz w:val="16"/>
              </w:rPr>
              <w:t>Scenario state</w:t>
            </w:r>
          </w:p>
        </w:tc>
        <w:tc>
          <w:tcPr>
            <w:tcW w:type="dxa" w:w="4860"/>
            <w:vAlign w:val="top"/>
            <w:tcMar>
              <w:top w:w="80" w:type="dxa"/>
              <w:start w:w="120" w:type="dxa"/>
              <w:bottom w:w="80" w:type="dxa"/>
              <w:end w:w="120" w:type="dxa"/>
            </w:tcMar>
          </w:tcPr>
          <w:p>
            <w:pPr/>
            <w:r>
              <w:rPr>
                <w:sz w:val="16"/>
              </w:rPr>
              <w:t>Scenario ID, stage, released evidence, completed actions, decisions, approvals, current calculations, eligible next actions and reset status</w:t>
            </w:r>
          </w:p>
        </w:tc>
        <w:tc>
          <w:tcPr>
            <w:tcW w:type="dxa" w:w="2800"/>
            <w:vAlign w:val="top"/>
            <w:tcMar>
              <w:top w:w="80" w:type="dxa"/>
              <w:start w:w="120" w:type="dxa"/>
              <w:bottom w:w="80" w:type="dxa"/>
              <w:end w:w="120" w:type="dxa"/>
            </w:tcMar>
          </w:tcPr>
          <w:p>
            <w:pPr/>
            <w:r>
              <w:rPr>
                <w:sz w:val="16"/>
              </w:rPr>
              <w:t>Prototype scenario controller / synthetic feed</w:t>
            </w:r>
          </w:p>
        </w:tc>
      </w:tr>
    </w:tbl>
    <w:p>
      <w:pPr>
        <w:spacing w:after="0"/>
      </w:pPr>
    </w:p>
    <w:p>
      <w:r>
        <w:t>Every displayed insight must identify whether it is source data, a deterministic calculation, a configured threshold, an agent-generated interpretation or a user-entered judgment. The prototype may use synthetic data, but the UI and documentation must label it as synthetic and must not imply that the results represent an actual customer operation.</w:t>
      </w:r>
    </w:p>
    <w:p>
      <w:pPr>
        <w:pStyle w:val="Heading1"/>
      </w:pPr>
      <w:r>
        <w:t>13. Business Rules and Decision Guardrails</w:t>
      </w:r>
    </w:p>
    <w:p>
      <w:pPr>
        <w:pStyle w:val="ListBullet"/>
      </w:pPr>
      <w:r>
        <w:t>Criteria and weights are approved and locked before bid evaluation; later changes require versioning and an audit entry.</w:t>
      </w:r>
    </w:p>
    <w:p>
      <w:pPr>
        <w:pStyle w:val="ListBullet"/>
      </w:pPr>
      <w:r>
        <w:t>Qualification failures cannot be hidden inside an aggregate weighted score.</w:t>
      </w:r>
    </w:p>
    <w:p>
      <w:pPr>
        <w:pStyle w:val="ListBullet"/>
      </w:pPr>
      <w:r>
        <w:t>Rates and currencies must retain the original value and show the conversion/normalization rule.</w:t>
      </w:r>
    </w:p>
    <w:p>
      <w:pPr>
        <w:pStyle w:val="ListBullet"/>
      </w:pPr>
      <w:r>
        <w:t>Forecast volumes are decision inputs, not guaranteed commitments, unless explicitly identified otherwise.</w:t>
      </w:r>
    </w:p>
    <w:p>
      <w:pPr>
        <w:pStyle w:val="ListBullet"/>
      </w:pPr>
      <w:r>
        <w:t>Actual performance is compared against the correct contract, lane, service definition and effective date.</w:t>
      </w:r>
    </w:p>
    <w:p>
      <w:pPr>
        <w:pStyle w:val="ListBullet"/>
      </w:pPr>
      <w:r>
        <w:t>Score changes must be reproducible from component data and approved formulas.</w:t>
      </w:r>
    </w:p>
    <w:p>
      <w:pPr>
        <w:pStyle w:val="ListBullet"/>
      </w:pPr>
      <w:r>
        <w:t>A missing metric must not silently become zero or an average; the system must disclose its treatment.</w:t>
      </w:r>
    </w:p>
    <w:p>
      <w:pPr>
        <w:pStyle w:val="ListBullet"/>
      </w:pPr>
      <w:r>
        <w:t>Incumbent history may inform risk-adjusted evaluation, but challengers with No History remain eligible if they meet qualification requirements.</w:t>
      </w:r>
    </w:p>
    <w:p>
      <w:pPr>
        <w:pStyle w:val="ListBullet"/>
      </w:pPr>
      <w:r>
        <w:t>Agent recommendations are advisory and require human review for material sourcing, award, corrective-action and renewal decisions.</w:t>
      </w:r>
    </w:p>
    <w:p>
      <w:pPr>
        <w:pStyle w:val="ListBullet"/>
      </w:pPr>
      <w:r>
        <w:t>Source documents and records remain authoritative; generated summaries must not override conflicting source evidence.</w:t>
      </w:r>
    </w:p>
    <w:p>
      <w:pPr>
        <w:pStyle w:val="ListBullet"/>
      </w:pPr>
      <w:r>
        <w:t>Sender identity or keyword matching alone is insufficient to classify an email as procurement-relevant.</w:t>
      </w:r>
    </w:p>
    <w:p>
      <w:pPr>
        <w:pStyle w:val="ListBullet"/>
      </w:pPr>
      <w:r>
        <w:t>Potentially relevant emails and unconfirmed extracted facts must not influence a bid, vendor profile, performance score or recommendation.</w:t>
      </w:r>
    </w:p>
    <w:p>
      <w:pPr>
        <w:pStyle w:val="ListBullet"/>
      </w:pPr>
      <w:r>
        <w:t>Forwarded chains and attachments must be assessed at the message/component level so unrelated quoted material is not treated as current evidence.</w:t>
      </w:r>
    </w:p>
    <w:p>
      <w:pPr>
        <w:pStyle w:val="ListBullet"/>
      </w:pPr>
      <w:r>
        <w:t>Email-based approvals must be verified against the authorised approver and applicable threshold before workflow status changes.</w:t>
      </w:r>
    </w:p>
    <w:p>
      <w:pPr>
        <w:pStyle w:val="ListBullet"/>
      </w:pPr>
      <w:r>
        <w:t>The internal replay fixture must not load evidence or outcomes until its prerequisite user action has occurred. This is a test-harness rule and must not be displayed as a product stage or locked customer module.</w:t>
      </w:r>
    </w:p>
    <w:p>
      <w:pPr>
        <w:pStyle w:val="ListBullet"/>
      </w:pPr>
      <w:r>
        <w:t>A user action that changes a requirement, classification, criterion, scenario, approval or action status must persist and be reflected wherever that decision is subsequently used.</w:t>
      </w:r>
    </w:p>
    <w:p>
      <w:pPr>
        <w:pStyle w:val="ListBullet"/>
      </w:pPr>
      <w:r>
        <w:t>Simulation controls such as loading supplier responses or advancing execution time belong in an operator-only test harness. They must not appear in the normal customer interface or be represented as autonomous production behaviour.</w:t>
      </w:r>
    </w:p>
    <w:p>
      <w:pPr>
        <w:pStyle w:val="ListBullet"/>
      </w:pPr>
      <w:r>
        <w:t>British English is the default product and authoring language. German content must follow the approved bilingual procurement and logistics glossary.</w:t>
      </w:r>
    </w:p>
    <w:p>
      <w:pPr>
        <w:pStyle w:val="ListBullet"/>
      </w:pPr>
      <w:r>
        <w:t>The original-language email, attachment or document remains the authoritative evidence. Translations must be clearly labelled and linked to the source.</w:t>
      </w:r>
    </w:p>
    <w:p>
      <w:pPr>
        <w:pStyle w:val="ListBullet"/>
      </w:pPr>
      <w:r>
        <w:t>Dates, decimal separators, currencies and number presentation must follow the selected locale without changing the underlying values.</w:t>
      </w:r>
    </w:p>
    <w:p>
      <w:pPr>
        <w:pStyle w:val="Heading1"/>
      </w:pPr>
      <w:r>
        <w:t>14. Non-Functional Requirements</w:t>
      </w:r>
    </w:p>
    <w:tbl>
      <w:tblPr>
        <w:tblStyle w:val="TableGrid"/>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shd w:fill="E8EEF5"/>
            <w:vAlign w:val="center"/>
            <w:tcMar>
              <w:top w:w="80" w:type="dxa"/>
              <w:start w:w="120" w:type="dxa"/>
              <w:bottom w:w="80" w:type="dxa"/>
              <w:end w:w="120" w:type="dxa"/>
            </w:tcMar>
          </w:tcPr>
          <w:p>
            <w:r>
              <w:rPr>
                <w:b/>
                <w:color w:val="17365D"/>
                <w:sz w:val="18"/>
              </w:rPr>
              <w:t>Area</w:t>
            </w:r>
          </w:p>
        </w:tc>
        <w:tc>
          <w:tcPr>
            <w:tcW w:type="dxa" w:w="7260"/>
            <w:shd w:fill="E8EEF5"/>
            <w:vAlign w:val="center"/>
            <w:tcMar>
              <w:top w:w="80" w:type="dxa"/>
              <w:start w:w="120" w:type="dxa"/>
              <w:bottom w:w="80" w:type="dxa"/>
              <w:end w:w="120" w:type="dxa"/>
            </w:tcMar>
          </w:tcPr>
          <w:p>
            <w:r>
              <w:rPr>
                <w:b/>
                <w:color w:val="17365D"/>
                <w:sz w:val="18"/>
              </w:rPr>
              <w:t>Requirement</w:t>
            </w:r>
          </w:p>
        </w:tc>
      </w:tr>
      <w:tr>
        <w:trPr>
          <w:cantSplit/>
        </w:trPr>
        <w:tc>
          <w:tcPr>
            <w:tcW w:type="dxa" w:w="2100"/>
            <w:vAlign w:val="top"/>
            <w:tcMar>
              <w:top w:w="80" w:type="dxa"/>
              <w:start w:w="120" w:type="dxa"/>
              <w:bottom w:w="80" w:type="dxa"/>
              <w:end w:w="120" w:type="dxa"/>
            </w:tcMar>
          </w:tcPr>
          <w:p>
            <w:pPr>
              <w:spacing w:after="0"/>
            </w:pPr>
            <w:r>
              <w:rPr>
                <w:sz w:val="18"/>
              </w:rPr>
              <w:t>Explainability</w:t>
            </w:r>
          </w:p>
        </w:tc>
        <w:tc>
          <w:tcPr>
            <w:tcW w:type="dxa" w:w="7260"/>
            <w:vAlign w:val="top"/>
            <w:tcMar>
              <w:top w:w="80" w:type="dxa"/>
              <w:start w:w="120" w:type="dxa"/>
              <w:bottom w:w="80" w:type="dxa"/>
              <w:end w:w="120" w:type="dxa"/>
            </w:tcMar>
          </w:tcPr>
          <w:p>
            <w:pPr>
              <w:spacing w:after="0"/>
            </w:pPr>
            <w:r>
              <w:rPr>
                <w:sz w:val="18"/>
              </w:rPr>
              <w:t>Material recommendations and scores must show evidence, calculations, assumptions, thresholds and uncertainty.</w:t>
            </w:r>
          </w:p>
        </w:tc>
      </w:tr>
      <w:tr>
        <w:trPr>
          <w:cantSplit/>
        </w:trPr>
        <w:tc>
          <w:tcPr>
            <w:tcW w:type="dxa" w:w="2100"/>
            <w:vAlign w:val="top"/>
            <w:tcMar>
              <w:top w:w="80" w:type="dxa"/>
              <w:start w:w="120" w:type="dxa"/>
              <w:bottom w:w="80" w:type="dxa"/>
              <w:end w:w="120" w:type="dxa"/>
            </w:tcMar>
          </w:tcPr>
          <w:p>
            <w:pPr>
              <w:spacing w:after="0"/>
            </w:pPr>
            <w:r>
              <w:rPr>
                <w:sz w:val="18"/>
              </w:rPr>
              <w:t>Security</w:t>
            </w:r>
          </w:p>
        </w:tc>
        <w:tc>
          <w:tcPr>
            <w:tcW w:type="dxa" w:w="7260"/>
            <w:vAlign w:val="top"/>
            <w:tcMar>
              <w:top w:w="80" w:type="dxa"/>
              <w:start w:w="120" w:type="dxa"/>
              <w:bottom w:w="80" w:type="dxa"/>
              <w:end w:w="120" w:type="dxa"/>
            </w:tcMar>
          </w:tcPr>
          <w:p>
            <w:pPr>
              <w:spacing w:after="0"/>
            </w:pPr>
            <w:r>
              <w:rPr>
                <w:sz w:val="18"/>
              </w:rPr>
              <w:t>Role-based access; least privilege; protection of commercially sensitive bids and vendor information.</w:t>
            </w:r>
          </w:p>
        </w:tc>
      </w:tr>
      <w:tr>
        <w:trPr>
          <w:cantSplit/>
        </w:trPr>
        <w:tc>
          <w:tcPr>
            <w:tcW w:type="dxa" w:w="2100"/>
            <w:vAlign w:val="top"/>
            <w:tcMar>
              <w:top w:w="80" w:type="dxa"/>
              <w:start w:w="120" w:type="dxa"/>
              <w:bottom w:w="80" w:type="dxa"/>
              <w:end w:w="120" w:type="dxa"/>
            </w:tcMar>
          </w:tcPr>
          <w:p>
            <w:pPr>
              <w:spacing w:after="0"/>
            </w:pPr>
            <w:r>
              <w:rPr>
                <w:sz w:val="18"/>
              </w:rPr>
              <w:t>Data governance</w:t>
            </w:r>
          </w:p>
        </w:tc>
        <w:tc>
          <w:tcPr>
            <w:tcW w:type="dxa" w:w="7260"/>
            <w:vAlign w:val="top"/>
            <w:tcMar>
              <w:top w:w="80" w:type="dxa"/>
              <w:start w:w="120" w:type="dxa"/>
              <w:bottom w:w="80" w:type="dxa"/>
              <w:end w:w="120" w:type="dxa"/>
            </w:tcMar>
          </w:tcPr>
          <w:p>
            <w:pPr>
              <w:spacing w:after="0"/>
            </w:pPr>
            <w:r>
              <w:rPr>
                <w:sz w:val="18"/>
              </w:rPr>
              <w:t>Customer-specific data isolation; no cross-customer model training; configurable retention and access logging.</w:t>
            </w:r>
          </w:p>
        </w:tc>
      </w:tr>
      <w:tr>
        <w:trPr>
          <w:cantSplit/>
        </w:trPr>
        <w:tc>
          <w:tcPr>
            <w:tcW w:type="dxa" w:w="2100"/>
            <w:vAlign w:val="top"/>
            <w:tcMar>
              <w:top w:w="80" w:type="dxa"/>
              <w:start w:w="120" w:type="dxa"/>
              <w:bottom w:w="80" w:type="dxa"/>
              <w:end w:w="120" w:type="dxa"/>
            </w:tcMar>
          </w:tcPr>
          <w:p>
            <w:pPr>
              <w:spacing w:after="0"/>
            </w:pPr>
            <w:r>
              <w:rPr>
                <w:sz w:val="18"/>
              </w:rPr>
              <w:t>Human control</w:t>
            </w:r>
          </w:p>
        </w:tc>
        <w:tc>
          <w:tcPr>
            <w:tcW w:type="dxa" w:w="7260"/>
            <w:vAlign w:val="top"/>
            <w:tcMar>
              <w:top w:w="80" w:type="dxa"/>
              <w:start w:w="120" w:type="dxa"/>
              <w:bottom w:w="80" w:type="dxa"/>
              <w:end w:w="120" w:type="dxa"/>
            </w:tcMar>
          </w:tcPr>
          <w:p>
            <w:pPr>
              <w:spacing w:after="0"/>
            </w:pPr>
            <w:r>
              <w:rPr>
                <w:sz w:val="18"/>
              </w:rPr>
              <w:t>No autonomous external communication or transaction; approvals and overrides must be explicit and auditable.</w:t>
            </w:r>
          </w:p>
        </w:tc>
      </w:tr>
      <w:tr>
        <w:trPr>
          <w:cantSplit/>
        </w:trPr>
        <w:tc>
          <w:tcPr>
            <w:tcW w:type="dxa" w:w="2100"/>
            <w:vAlign w:val="top"/>
            <w:tcMar>
              <w:top w:w="80" w:type="dxa"/>
              <w:start w:w="120" w:type="dxa"/>
              <w:bottom w:w="80" w:type="dxa"/>
              <w:end w:w="120" w:type="dxa"/>
            </w:tcMar>
          </w:tcPr>
          <w:p>
            <w:pPr>
              <w:spacing w:after="0"/>
            </w:pPr>
            <w:r>
              <w:rPr>
                <w:sz w:val="18"/>
              </w:rPr>
              <w:t>Performance</w:t>
            </w:r>
          </w:p>
        </w:tc>
        <w:tc>
          <w:tcPr>
            <w:tcW w:type="dxa" w:w="7260"/>
            <w:vAlign w:val="top"/>
            <w:tcMar>
              <w:top w:w="80" w:type="dxa"/>
              <w:start w:w="120" w:type="dxa"/>
              <w:bottom w:w="80" w:type="dxa"/>
              <w:end w:w="120" w:type="dxa"/>
            </w:tcMar>
          </w:tcPr>
          <w:p>
            <w:pPr>
              <w:spacing w:after="0"/>
            </w:pPr>
            <w:r>
              <w:rPr>
                <w:sz w:val="18"/>
              </w:rPr>
              <w:t>Prototype views should respond interactively for the agreed limited dataset; batch analysis status must be visible.</w:t>
            </w:r>
          </w:p>
        </w:tc>
      </w:tr>
      <w:tr>
        <w:trPr>
          <w:cantSplit/>
        </w:trPr>
        <w:tc>
          <w:tcPr>
            <w:tcW w:type="dxa" w:w="2100"/>
            <w:vAlign w:val="top"/>
            <w:tcMar>
              <w:top w:w="80" w:type="dxa"/>
              <w:start w:w="120" w:type="dxa"/>
              <w:bottom w:w="80" w:type="dxa"/>
              <w:end w:w="120" w:type="dxa"/>
            </w:tcMar>
          </w:tcPr>
          <w:p>
            <w:pPr>
              <w:spacing w:after="0"/>
            </w:pPr>
            <w:r>
              <w:rPr>
                <w:sz w:val="18"/>
              </w:rPr>
              <w:t>Reliability</w:t>
            </w:r>
          </w:p>
        </w:tc>
        <w:tc>
          <w:tcPr>
            <w:tcW w:type="dxa" w:w="7260"/>
            <w:vAlign w:val="top"/>
            <w:tcMar>
              <w:top w:w="80" w:type="dxa"/>
              <w:start w:w="120" w:type="dxa"/>
              <w:bottom w:w="80" w:type="dxa"/>
              <w:end w:w="120" w:type="dxa"/>
            </w:tcMar>
          </w:tcPr>
          <w:p>
            <w:pPr>
              <w:spacing w:after="0"/>
            </w:pPr>
            <w:r>
              <w:rPr>
                <w:sz w:val="18"/>
              </w:rPr>
              <w:t>Failures or unavailable sources must be visible and must not produce apparently complete conclusions.</w:t>
            </w:r>
          </w:p>
        </w:tc>
      </w:tr>
      <w:tr>
        <w:trPr>
          <w:cantSplit/>
        </w:trPr>
        <w:tc>
          <w:tcPr>
            <w:tcW w:type="dxa" w:w="2100"/>
            <w:vAlign w:val="top"/>
            <w:tcMar>
              <w:top w:w="80" w:type="dxa"/>
              <w:start w:w="120" w:type="dxa"/>
              <w:bottom w:w="80" w:type="dxa"/>
              <w:end w:w="120" w:type="dxa"/>
            </w:tcMar>
          </w:tcPr>
          <w:p>
            <w:pPr>
              <w:spacing w:after="0"/>
            </w:pPr>
            <w:r>
              <w:rPr>
                <w:sz w:val="18"/>
              </w:rPr>
              <w:t>Configurability</w:t>
            </w:r>
          </w:p>
        </w:tc>
        <w:tc>
          <w:tcPr>
            <w:tcW w:type="dxa" w:w="7260"/>
            <w:vAlign w:val="top"/>
            <w:tcMar>
              <w:top w:w="80" w:type="dxa"/>
              <w:start w:w="120" w:type="dxa"/>
              <w:bottom w:w="80" w:type="dxa"/>
              <w:end w:w="120" w:type="dxa"/>
            </w:tcMar>
          </w:tcPr>
          <w:p>
            <w:pPr>
              <w:spacing w:after="0"/>
            </w:pPr>
            <w:r>
              <w:rPr>
                <w:sz w:val="18"/>
              </w:rPr>
              <w:t>Categories, regions, currencies, criteria, weights, thresholds, periods and approval rules must be configurable.</w:t>
            </w:r>
          </w:p>
        </w:tc>
      </w:tr>
      <w:tr>
        <w:trPr>
          <w:cantSplit/>
        </w:trPr>
        <w:tc>
          <w:tcPr>
            <w:tcW w:type="dxa" w:w="2100"/>
            <w:vAlign w:val="top"/>
            <w:tcMar>
              <w:top w:w="80" w:type="dxa"/>
              <w:start w:w="120" w:type="dxa"/>
              <w:bottom w:w="80" w:type="dxa"/>
              <w:end w:w="120" w:type="dxa"/>
            </w:tcMar>
          </w:tcPr>
          <w:p>
            <w:pPr>
              <w:spacing w:after="0"/>
            </w:pPr>
            <w:r>
              <w:rPr>
                <w:sz w:val="18"/>
              </w:rPr>
              <w:t>Interoperability</w:t>
            </w:r>
          </w:p>
        </w:tc>
        <w:tc>
          <w:tcPr>
            <w:tcW w:type="dxa" w:w="7260"/>
            <w:vAlign w:val="top"/>
            <w:tcMar>
              <w:top w:w="80" w:type="dxa"/>
              <w:start w:w="120" w:type="dxa"/>
              <w:bottom w:w="80" w:type="dxa"/>
              <w:end w:w="120" w:type="dxa"/>
            </w:tcMar>
          </w:tcPr>
          <w:p>
            <w:pPr>
              <w:spacing w:after="0"/>
            </w:pPr>
            <w:r>
              <w:rPr>
                <w:sz w:val="18"/>
              </w:rPr>
              <w:t>Future design must support file/API ingestion from ERP, TMS, sourcing, contract, vendor and claims systems.</w:t>
            </w:r>
          </w:p>
        </w:tc>
      </w:tr>
      <w:tr>
        <w:trPr>
          <w:cantSplit/>
        </w:trPr>
        <w:tc>
          <w:tcPr>
            <w:tcW w:type="dxa" w:w="2100"/>
            <w:vAlign w:val="top"/>
            <w:tcMar>
              <w:top w:w="80" w:type="dxa"/>
              <w:start w:w="120" w:type="dxa"/>
              <w:bottom w:w="80" w:type="dxa"/>
              <w:end w:w="120" w:type="dxa"/>
            </w:tcMar>
          </w:tcPr>
          <w:p>
            <w:pPr>
              <w:spacing w:after="0"/>
            </w:pPr>
            <w:r>
              <w:rPr>
                <w:sz w:val="18"/>
              </w:rPr>
              <w:t>Accessibility/usability</w:t>
            </w:r>
          </w:p>
        </w:tc>
        <w:tc>
          <w:tcPr>
            <w:tcW w:type="dxa" w:w="7260"/>
            <w:vAlign w:val="top"/>
            <w:tcMar>
              <w:top w:w="80" w:type="dxa"/>
              <w:start w:w="120" w:type="dxa"/>
              <w:bottom w:w="80" w:type="dxa"/>
              <w:end w:w="120" w:type="dxa"/>
            </w:tcMar>
          </w:tcPr>
          <w:p>
            <w:pPr>
              <w:spacing w:after="0"/>
            </w:pPr>
            <w:r>
              <w:rPr>
                <w:sz w:val="18"/>
              </w:rPr>
              <w:t>Key workflows must be keyboard-readable, clearly labelled and understandable without technical AI knowledge.</w:t>
            </w:r>
          </w:p>
        </w:tc>
      </w:tr>
      <w:tr>
        <w:trPr>
          <w:cantSplit/>
        </w:trPr>
        <w:tc>
          <w:tcPr>
            <w:tcW w:type="dxa" w:w="2100"/>
            <w:vAlign w:val="top"/>
            <w:tcMar>
              <w:top w:w="80" w:type="dxa"/>
              <w:start w:w="120" w:type="dxa"/>
              <w:bottom w:w="80" w:type="dxa"/>
              <w:end w:w="120" w:type="dxa"/>
            </w:tcMar>
          </w:tcPr>
          <w:p>
            <w:pPr>
              <w:spacing w:after="0"/>
            </w:pPr>
            <w:r>
              <w:rPr>
                <w:sz w:val="18"/>
              </w:rPr>
              <w:t>Auditability</w:t>
            </w:r>
          </w:p>
        </w:tc>
        <w:tc>
          <w:tcPr>
            <w:tcW w:type="dxa" w:w="7260"/>
            <w:vAlign w:val="top"/>
            <w:tcMar>
              <w:top w:w="80" w:type="dxa"/>
              <w:start w:w="120" w:type="dxa"/>
              <w:bottom w:w="80" w:type="dxa"/>
              <w:end w:w="120" w:type="dxa"/>
            </w:tcMar>
          </w:tcPr>
          <w:p>
            <w:pPr>
              <w:spacing w:after="0"/>
            </w:pPr>
            <w:r>
              <w:rPr>
                <w:sz w:val="18"/>
              </w:rPr>
              <w:t>Retain versions, timestamps, user/agent actions, source lineage and decision history.</w:t>
            </w:r>
          </w:p>
        </w:tc>
      </w:tr>
      <w:tr>
        <w:trPr>
          <w:cantSplit/>
          <w:cantSplit/>
        </w:trPr>
        <w:tc>
          <w:tcPr>
            <w:tcW w:type="dxa" w:w="2100"/>
            <w:vAlign w:val="top"/>
            <w:tcMar>
              <w:top w:w="80" w:type="dxa"/>
              <w:start w:w="120" w:type="dxa"/>
              <w:bottom w:w="80" w:type="dxa"/>
              <w:end w:w="120" w:type="dxa"/>
            </w:tcMar>
          </w:tcPr>
          <w:p>
            <w:pPr/>
            <w:r>
              <w:rPr>
                <w:sz w:val="18"/>
              </w:rPr>
              <w:t>State persistence and determinism</w:t>
            </w:r>
          </w:p>
        </w:tc>
        <w:tc>
          <w:tcPr>
            <w:tcW w:type="dxa" w:w="7260"/>
            <w:vAlign w:val="top"/>
            <w:tcMar>
              <w:top w:w="80" w:type="dxa"/>
              <w:start w:w="120" w:type="dxa"/>
              <w:bottom w:w="80" w:type="dxa"/>
              <w:end w:w="120" w:type="dxa"/>
            </w:tcMar>
          </w:tcPr>
          <w:p>
            <w:pPr/>
            <w:r>
              <w:rPr>
                <w:sz w:val="18"/>
              </w:rPr>
              <w:t>Material user actions must persist during the session. The same starting state and action sequence must produce the same staged evidence releases and calculated outputs.</w:t>
            </w:r>
          </w:p>
        </w:tc>
      </w:tr>
      <w:tr>
        <w:trPr>
          <w:cantSplit/>
          <w:cantSplit/>
        </w:trPr>
        <w:tc>
          <w:tcPr>
            <w:tcW w:type="dxa" w:w="2100"/>
            <w:vAlign w:val="top"/>
            <w:tcMar>
              <w:top w:w="80" w:type="dxa"/>
              <w:start w:w="120" w:type="dxa"/>
              <w:bottom w:w="80" w:type="dxa"/>
              <w:end w:w="120" w:type="dxa"/>
            </w:tcMar>
          </w:tcPr>
          <w:p>
            <w:pPr/>
            <w:r>
              <w:rPr>
                <w:sz w:val="18"/>
              </w:rPr>
              <w:t>Language and localisation</w:t>
            </w:r>
          </w:p>
        </w:tc>
        <w:tc>
          <w:tcPr>
            <w:tcW w:type="dxa" w:w="7260"/>
            <w:vAlign w:val="top"/>
            <w:tcMar>
              <w:top w:w="80" w:type="dxa"/>
              <w:start w:w="120" w:type="dxa"/>
              <w:bottom w:w="80" w:type="dxa"/>
              <w:end w:w="120" w:type="dxa"/>
            </w:tcMar>
          </w:tcPr>
          <w:p>
            <w:pPr/>
            <w:r>
              <w:rPr>
                <w:sz w:val="18"/>
              </w:rPr>
              <w:t>Support British English and German for the defined prototype journeys, preserve original-language evidence, use an approved bilingual glossary and apply locale-appropriate dates, numbers and currency presentation.</w:t>
            </w:r>
          </w:p>
        </w:tc>
      </w:tr>
    </w:tbl>
    <w:p>
      <w:pPr>
        <w:spacing w:after="0"/>
      </w:pPr>
    </w:p>
    <w:p>
      <w:pPr>
        <w:pStyle w:val="Heading1"/>
      </w:pPr>
      <w:r>
        <w:t>15. Prototype Demonstration Scenario</w:t>
      </w:r>
    </w:p>
    <w:p>
      <w:r>
        <w:t>The prototype should tell one connected story using an illustrative 12-month European road-freight contract covering a manageable set of lanes, incumbent carriers and challengers. Exact numbers will be synthetic or supplied later and must be labelled accordingly.</w:t>
      </w:r>
    </w:p>
    <w:tbl>
      <w:tblPr>
        <w:tblStyle w:val="TableGrid"/>
        <w:tblW w:type="dxa" w:w="9360"/>
        <w:jc w:val="left"/>
        <w:tblLayout w:type="fixed"/>
        <w:tblLook w:firstColumn="1" w:firstRow="1" w:lastColumn="0" w:lastRow="0" w:noHBand="0" w:noVBand="1" w:val="04A0"/>
        <w:tblInd w:w="120" w:type="dxa"/>
      </w:tblPr>
      <w:tblGrid>
        <w:gridCol w:w="850"/>
        <w:gridCol w:w="8510"/>
      </w:tblGrid>
      <w:tr>
        <w:trPr>
          <w:tblHeader w:val="true"/>
        </w:trPr>
        <w:tc>
          <w:tcPr>
            <w:tcW w:type="dxa" w:w="850"/>
            <w:shd w:fill="E8EEF5"/>
            <w:vAlign w:val="center"/>
            <w:tcMar>
              <w:top w:w="80" w:type="dxa"/>
              <w:start w:w="120" w:type="dxa"/>
              <w:bottom w:w="80" w:type="dxa"/>
              <w:end w:w="120" w:type="dxa"/>
            </w:tcMar>
          </w:tcPr>
          <w:p>
            <w:r>
              <w:rPr>
                <w:b/>
                <w:color w:val="17365D"/>
                <w:sz w:val="16"/>
              </w:rPr>
              <w:t>Step</w:t>
            </w:r>
          </w:p>
        </w:tc>
        <w:tc>
          <w:tcPr>
            <w:tcW w:type="dxa" w:w="8510"/>
            <w:shd w:fill="E8EEF5"/>
            <w:vAlign w:val="center"/>
            <w:tcMar>
              <w:top w:w="80" w:type="dxa"/>
              <w:start w:w="120" w:type="dxa"/>
              <w:bottom w:w="80" w:type="dxa"/>
              <w:end w:w="120" w:type="dxa"/>
            </w:tcMar>
          </w:tcPr>
          <w:p>
            <w:r>
              <w:rPr>
                <w:b/>
                <w:color w:val="17365D"/>
                <w:sz w:val="16"/>
              </w:rPr>
              <w:t>Demonstration sequence</w:t>
            </w:r>
          </w:p>
        </w:tc>
      </w:tr>
      <w:tr>
        <w:trPr>
          <w:cantSplit/>
          <w:cantSplit/>
        </w:trPr>
        <w:tc>
          <w:tcPr>
            <w:tcW w:type="dxa" w:w="850"/>
            <w:vAlign w:val="top"/>
            <w:tcMar>
              <w:top w:w="80" w:type="dxa"/>
              <w:start w:w="120" w:type="dxa"/>
              <w:bottom w:w="80" w:type="dxa"/>
              <w:end w:w="120" w:type="dxa"/>
            </w:tcMar>
          </w:tcPr>
          <w:p>
            <w:pPr/>
            <w:r>
              <w:rPr>
                <w:sz w:val="16"/>
              </w:rPr>
              <w:t>0</w:t>
            </w:r>
          </w:p>
        </w:tc>
        <w:tc>
          <w:tcPr>
            <w:tcW w:type="dxa" w:w="8510"/>
            <w:vAlign w:val="top"/>
            <w:tcMar>
              <w:top w:w="80" w:type="dxa"/>
              <w:start w:w="120" w:type="dxa"/>
              <w:bottom w:w="80" w:type="dxa"/>
              <w:end w:w="120" w:type="dxa"/>
            </w:tcMar>
          </w:tcPr>
          <w:p>
            <w:pPr/>
            <w:r>
              <w:rPr>
                <w:sz w:val="16"/>
              </w:rPr>
              <w:t>The prototype opens in a defined starting state with the sourcing outcome, supplier responses and post-award results not yet available.</w:t>
            </w:r>
          </w:p>
        </w:tc>
      </w:tr>
      <w:tr>
        <w:trPr>
          <w:cantSplit/>
        </w:trPr>
        <w:tc>
          <w:tcPr>
            <w:tcW w:type="dxa" w:w="850"/>
            <w:vAlign w:val="top"/>
            <w:tcMar>
              <w:top w:w="80" w:type="dxa"/>
              <w:start w:w="120" w:type="dxa"/>
              <w:bottom w:w="80" w:type="dxa"/>
              <w:end w:w="120" w:type="dxa"/>
            </w:tcMar>
          </w:tcPr>
          <w:p>
            <w:pPr>
              <w:spacing w:after="0"/>
            </w:pPr>
            <w:r>
              <w:rPr>
                <w:sz w:val="16"/>
              </w:rPr>
              <w:t>1</w:t>
            </w:r>
          </w:p>
        </w:tc>
        <w:tc>
          <w:tcPr>
            <w:tcW w:type="dxa" w:w="8510"/>
            <w:vAlign w:val="top"/>
            <w:tcMar>
              <w:top w:w="80" w:type="dxa"/>
              <w:start w:w="120" w:type="dxa"/>
              <w:bottom w:w="80" w:type="dxa"/>
              <w:end w:w="120" w:type="dxa"/>
            </w:tcMar>
          </w:tcPr>
          <w:p>
            <w:pPr>
              <w:spacing w:after="0"/>
            </w:pPr>
            <w:r>
              <w:rPr>
                <w:sz w:val="16"/>
              </w:rPr>
              <w:t>An Action Centre card flags an upcoming contract expiry and/or deteriorating incumbent performance.</w:t>
            </w:r>
          </w:p>
        </w:tc>
      </w:tr>
      <w:tr>
        <w:trPr>
          <w:cantSplit/>
        </w:trPr>
        <w:tc>
          <w:tcPr>
            <w:tcW w:type="dxa" w:w="850"/>
            <w:vAlign w:val="top"/>
            <w:tcMar>
              <w:top w:w="80" w:type="dxa"/>
              <w:start w:w="120" w:type="dxa"/>
              <w:bottom w:w="80" w:type="dxa"/>
              <w:end w:w="120" w:type="dxa"/>
            </w:tcMar>
          </w:tcPr>
          <w:p>
            <w:pPr>
              <w:spacing w:after="0"/>
            </w:pPr>
            <w:r>
              <w:rPr>
                <w:sz w:val="16"/>
              </w:rPr>
              <w:t>2</w:t>
            </w:r>
          </w:p>
        </w:tc>
        <w:tc>
          <w:tcPr>
            <w:tcW w:type="dxa" w:w="8510"/>
            <w:vAlign w:val="top"/>
            <w:tcMar>
              <w:top w:w="80" w:type="dxa"/>
              <w:start w:w="120" w:type="dxa"/>
              <w:bottom w:w="80" w:type="dxa"/>
              <w:end w:w="120" w:type="dxa"/>
            </w:tcMar>
          </w:tcPr>
          <w:p>
            <w:pPr>
              <w:spacing w:after="0"/>
            </w:pPr>
            <w:r>
              <w:rPr>
                <w:sz w:val="16"/>
              </w:rPr>
              <w:t>The user opens a sourcing event pre-populated with representative lanes, forecast volumes, service requirements and prior-contract evidence.</w:t>
            </w:r>
          </w:p>
        </w:tc>
      </w:tr>
      <w:tr>
        <w:trPr>
          <w:cantSplit/>
        </w:trPr>
        <w:tc>
          <w:tcPr>
            <w:tcW w:type="dxa" w:w="850"/>
            <w:vAlign w:val="top"/>
            <w:tcMar>
              <w:top w:w="80" w:type="dxa"/>
              <w:start w:w="120" w:type="dxa"/>
              <w:bottom w:w="80" w:type="dxa"/>
              <w:end w:w="120" w:type="dxa"/>
            </w:tcMar>
          </w:tcPr>
          <w:p>
            <w:pPr>
              <w:spacing w:after="0"/>
            </w:pPr>
            <w:r>
              <w:rPr>
                <w:sz w:val="16"/>
              </w:rPr>
              <w:t>3</w:t>
            </w:r>
          </w:p>
        </w:tc>
        <w:tc>
          <w:tcPr>
            <w:tcW w:type="dxa" w:w="8510"/>
            <w:vAlign w:val="top"/>
            <w:tcMar>
              <w:top w:w="80" w:type="dxa"/>
              <w:start w:w="120" w:type="dxa"/>
              <w:bottom w:w="80" w:type="dxa"/>
              <w:end w:w="120" w:type="dxa"/>
            </w:tcMar>
          </w:tcPr>
          <w:p>
            <w:r>
              <w:t>Compass identifies missing requirements and produces a reviewable, cited RFP/ITT draft in British English, with German available as a selected output language.</w:t>
            </w:r>
          </w:p>
        </w:tc>
      </w:tr>
      <w:tr>
        <w:trPr>
          <w:cantSplit/>
        </w:trPr>
        <w:tc>
          <w:tcPr>
            <w:tcW w:type="dxa" w:w="850"/>
            <w:vAlign w:val="top"/>
            <w:tcMar>
              <w:top w:w="80" w:type="dxa"/>
              <w:start w:w="120" w:type="dxa"/>
              <w:bottom w:w="80" w:type="dxa"/>
              <w:end w:w="120" w:type="dxa"/>
            </w:tcMar>
          </w:tcPr>
          <w:p>
            <w:pPr>
              <w:spacing w:after="0"/>
            </w:pPr>
            <w:r>
              <w:rPr>
                <w:sz w:val="16"/>
              </w:rPr>
              <w:t>4</w:t>
            </w:r>
          </w:p>
        </w:tc>
        <w:tc>
          <w:tcPr>
            <w:tcW w:type="dxa" w:w="8510"/>
            <w:vAlign w:val="top"/>
            <w:tcMar>
              <w:top w:w="80" w:type="dxa"/>
              <w:start w:w="120" w:type="dxa"/>
              <w:bottom w:w="80" w:type="dxa"/>
              <w:end w:w="120" w:type="dxa"/>
            </w:tcMar>
          </w:tcPr>
          <w:p>
            <w:r>
              <w:t>Compass drafts carrier invitations from approved event data in British English or German; a user verifies the selected language, recipients and current attachment before sending.</w:t>
            </w:r>
          </w:p>
        </w:tc>
      </w:tr>
      <w:tr>
        <w:trPr>
          <w:cantSplit/>
        </w:trPr>
        <w:tc>
          <w:tcPr>
            <w:tcW w:type="dxa" w:w="850"/>
            <w:vAlign w:val="top"/>
            <w:tcMar>
              <w:top w:w="80" w:type="dxa"/>
              <w:start w:w="120" w:type="dxa"/>
              <w:bottom w:w="80" w:type="dxa"/>
              <w:end w:w="120" w:type="dxa"/>
            </w:tcMar>
          </w:tcPr>
          <w:p>
            <w:pPr>
              <w:spacing w:after="0"/>
            </w:pPr>
            <w:r>
              <w:rPr>
                <w:sz w:val="16"/>
              </w:rPr>
              <w:t>5</w:t>
            </w:r>
          </w:p>
        </w:tc>
        <w:tc>
          <w:tcPr>
            <w:tcW w:type="dxa" w:w="8510"/>
            <w:vAlign w:val="top"/>
            <w:tcMar>
              <w:top w:w="80" w:type="dxa"/>
              <w:start w:w="120" w:type="dxa"/>
              <w:bottom w:w="80" w:type="dxa"/>
              <w:end w:w="120" w:type="dxa"/>
            </w:tcMar>
          </w:tcPr>
          <w:p>
            <w:r>
              <w:t>The demonstration inbox receives English- and German-language supplier messages, including a valid proposal, revised rate card, clarification, irrelevant carrier message, newsletter, automated notice and ambiguous internal email.</w:t>
            </w:r>
          </w:p>
        </w:tc>
      </w:tr>
      <w:tr>
        <w:trPr>
          <w:cantSplit/>
        </w:trPr>
        <w:tc>
          <w:tcPr>
            <w:tcW w:type="dxa" w:w="850"/>
            <w:vAlign w:val="top"/>
            <w:tcMar>
              <w:top w:w="80" w:type="dxa"/>
              <w:start w:w="120" w:type="dxa"/>
              <w:bottom w:w="80" w:type="dxa"/>
              <w:end w:w="120" w:type="dxa"/>
            </w:tcMar>
          </w:tcPr>
          <w:p>
            <w:pPr>
              <w:spacing w:after="0"/>
            </w:pPr>
            <w:r>
              <w:rPr>
                <w:sz w:val="16"/>
              </w:rPr>
              <w:t>6</w:t>
            </w:r>
          </w:p>
        </w:tc>
        <w:tc>
          <w:tcPr>
            <w:tcW w:type="dxa" w:w="8510"/>
            <w:vAlign w:val="top"/>
            <w:tcMar>
              <w:top w:w="80" w:type="dxa"/>
              <w:start w:w="120" w:type="dxa"/>
              <w:bottom w:w="80" w:type="dxa"/>
              <w:end w:w="120" w:type="dxa"/>
            </w:tcMar>
          </w:tcPr>
          <w:p>
            <w:r>
              <w:t>Compass filters the bilingual inbox, identifies source language, explains each classification, links confirmed messages, labels any translation and routes the ambiguous message for review.</w:t>
            </w:r>
          </w:p>
        </w:tc>
      </w:tr>
      <w:tr>
        <w:trPr>
          <w:cantSplit/>
        </w:trPr>
        <w:tc>
          <w:tcPr>
            <w:tcW w:type="dxa" w:w="850"/>
            <w:vAlign w:val="top"/>
            <w:tcMar>
              <w:top w:w="80" w:type="dxa"/>
              <w:start w:w="120" w:type="dxa"/>
              <w:bottom w:w="80" w:type="dxa"/>
              <w:end w:w="120" w:type="dxa"/>
            </w:tcMar>
          </w:tcPr>
          <w:p>
            <w:pPr>
              <w:spacing w:after="0"/>
            </w:pPr>
            <w:r>
              <w:rPr>
                <w:sz w:val="16"/>
              </w:rPr>
              <w:t>7</w:t>
            </w:r>
          </w:p>
        </w:tc>
        <w:tc>
          <w:tcPr>
            <w:tcW w:type="dxa" w:w="8510"/>
            <w:vAlign w:val="top"/>
            <w:tcMar>
              <w:top w:w="80" w:type="dxa"/>
              <w:start w:w="120" w:type="dxa"/>
              <w:bottom w:w="80" w:type="dxa"/>
              <w:end w:w="120" w:type="dxa"/>
            </w:tcMar>
          </w:tcPr>
          <w:p>
            <w:pPr>
              <w:spacing w:after="0"/>
            </w:pPr>
            <w:r>
              <w:rPr>
                <w:sz w:val="16"/>
              </w:rPr>
              <w:t>Carrier proposals are represented with different rate structures, lane coverage, service commitments and exceptions; the revised rate card becomes a new version.</w:t>
            </w:r>
          </w:p>
        </w:tc>
      </w:tr>
      <w:tr>
        <w:trPr>
          <w:cantSplit/>
        </w:trPr>
        <w:tc>
          <w:tcPr>
            <w:tcW w:type="dxa" w:w="850"/>
            <w:vAlign w:val="top"/>
            <w:tcMar>
              <w:top w:w="80" w:type="dxa"/>
              <w:start w:w="120" w:type="dxa"/>
              <w:bottom w:w="80" w:type="dxa"/>
              <w:end w:w="120" w:type="dxa"/>
            </w:tcMar>
          </w:tcPr>
          <w:p>
            <w:pPr>
              <w:spacing w:after="0"/>
            </w:pPr>
            <w:r>
              <w:rPr>
                <w:sz w:val="16"/>
              </w:rPr>
              <w:t>8</w:t>
            </w:r>
          </w:p>
        </w:tc>
        <w:tc>
          <w:tcPr>
            <w:tcW w:type="dxa" w:w="8510"/>
            <w:vAlign w:val="top"/>
            <w:tcMar>
              <w:top w:w="80" w:type="dxa"/>
              <w:start w:w="120" w:type="dxa"/>
              <w:bottom w:w="80" w:type="dxa"/>
              <w:end w:w="120" w:type="dxa"/>
            </w:tcMar>
          </w:tcPr>
          <w:p>
            <w:pPr>
              <w:spacing w:after="0"/>
            </w:pPr>
            <w:r>
              <w:rPr>
                <w:sz w:val="16"/>
              </w:rPr>
              <w:t>Compass normalises bids, applies qualification gates and compares award scenarios.</w:t>
            </w:r>
          </w:p>
        </w:tc>
      </w:tr>
      <w:tr>
        <w:trPr>
          <w:cantSplit/>
        </w:trPr>
        <w:tc>
          <w:tcPr>
            <w:tcW w:type="dxa" w:w="850"/>
            <w:vAlign w:val="top"/>
            <w:tcMar>
              <w:top w:w="80" w:type="dxa"/>
              <w:start w:w="120" w:type="dxa"/>
              <w:bottom w:w="80" w:type="dxa"/>
              <w:end w:w="120" w:type="dxa"/>
            </w:tcMar>
          </w:tcPr>
          <w:p>
            <w:pPr>
              <w:spacing w:after="0"/>
            </w:pPr>
            <w:r>
              <w:rPr>
                <w:sz w:val="16"/>
              </w:rPr>
              <w:t>9</w:t>
            </w:r>
          </w:p>
        </w:tc>
        <w:tc>
          <w:tcPr>
            <w:tcW w:type="dxa" w:w="8510"/>
            <w:vAlign w:val="top"/>
            <w:tcMar>
              <w:top w:w="80" w:type="dxa"/>
              <w:start w:w="120" w:type="dxa"/>
              <w:bottom w:w="80" w:type="dxa"/>
              <w:end w:w="120" w:type="dxa"/>
            </w:tcMar>
          </w:tcPr>
          <w:p>
            <w:pPr>
              <w:spacing w:after="0"/>
            </w:pPr>
            <w:r>
              <w:rPr>
                <w:sz w:val="16"/>
              </w:rPr>
              <w:t>An incumbent profile reveals verified performance history; a challenger displays No History.</w:t>
            </w:r>
          </w:p>
        </w:tc>
      </w:tr>
      <w:tr>
        <w:trPr>
          <w:cantSplit/>
        </w:trPr>
        <w:tc>
          <w:tcPr>
            <w:tcW w:type="dxa" w:w="850"/>
            <w:vAlign w:val="top"/>
            <w:tcMar>
              <w:top w:w="80" w:type="dxa"/>
              <w:start w:w="120" w:type="dxa"/>
              <w:bottom w:w="80" w:type="dxa"/>
              <w:end w:w="120" w:type="dxa"/>
            </w:tcMar>
          </w:tcPr>
          <w:p>
            <w:pPr>
              <w:spacing w:after="0"/>
            </w:pPr>
            <w:r>
              <w:rPr>
                <w:sz w:val="16"/>
              </w:rPr>
              <w:t>10</w:t>
            </w:r>
          </w:p>
        </w:tc>
        <w:tc>
          <w:tcPr>
            <w:tcW w:type="dxa" w:w="8510"/>
            <w:vAlign w:val="top"/>
            <w:tcMar>
              <w:top w:w="80" w:type="dxa"/>
              <w:start w:w="120" w:type="dxa"/>
              <w:bottom w:w="80" w:type="dxa"/>
              <w:end w:w="120" w:type="dxa"/>
            </w:tcMar>
          </w:tcPr>
          <w:p>
            <w:pPr>
              <w:spacing w:after="0"/>
            </w:pPr>
            <w:r>
              <w:rPr>
                <w:sz w:val="16"/>
              </w:rPr>
              <w:t>Compass recommends an award scenario and explains cost, service, concentration and performance trade-offs.</w:t>
            </w:r>
          </w:p>
        </w:tc>
      </w:tr>
      <w:tr>
        <w:trPr>
          <w:cantSplit/>
        </w:trPr>
        <w:tc>
          <w:tcPr>
            <w:tcW w:type="dxa" w:w="850"/>
            <w:vAlign w:val="top"/>
            <w:tcMar>
              <w:top w:w="80" w:type="dxa"/>
              <w:start w:w="120" w:type="dxa"/>
              <w:bottom w:w="80" w:type="dxa"/>
              <w:end w:w="120" w:type="dxa"/>
            </w:tcMar>
          </w:tcPr>
          <w:p>
            <w:pPr>
              <w:spacing w:after="0"/>
            </w:pPr>
            <w:r>
              <w:rPr>
                <w:sz w:val="16"/>
              </w:rPr>
              <w:t>11</w:t>
            </w:r>
          </w:p>
        </w:tc>
        <w:tc>
          <w:tcPr>
            <w:tcW w:type="dxa" w:w="8510"/>
            <w:vAlign w:val="top"/>
            <w:tcMar>
              <w:top w:w="80" w:type="dxa"/>
              <w:start w:w="120" w:type="dxa"/>
              <w:bottom w:w="80" w:type="dxa"/>
              <w:end w:w="120" w:type="dxa"/>
            </w:tcMar>
          </w:tcPr>
          <w:p>
            <w:pPr>
              <w:spacing w:after="0"/>
            </w:pPr>
            <w:r>
              <w:rPr>
                <w:sz w:val="16"/>
              </w:rPr>
              <w:t>A material clarification triggers a consistent, anonymized response draft for all affected bidders.</w:t>
            </w:r>
          </w:p>
        </w:tc>
      </w:tr>
      <w:tr>
        <w:trPr>
          <w:cantSplit/>
        </w:trPr>
        <w:tc>
          <w:tcPr>
            <w:tcW w:type="dxa" w:w="850"/>
            <w:vAlign w:val="top"/>
            <w:tcMar>
              <w:top w:w="80" w:type="dxa"/>
              <w:start w:w="120" w:type="dxa"/>
              <w:bottom w:w="80" w:type="dxa"/>
              <w:end w:w="120" w:type="dxa"/>
            </w:tcMar>
          </w:tcPr>
          <w:p>
            <w:pPr>
              <w:spacing w:after="0"/>
            </w:pPr>
            <w:r>
              <w:rPr>
                <w:sz w:val="16"/>
              </w:rPr>
              <w:t>12</w:t>
            </w:r>
          </w:p>
        </w:tc>
        <w:tc>
          <w:tcPr>
            <w:tcW w:type="dxa" w:w="8510"/>
            <w:vAlign w:val="top"/>
            <w:tcMar>
              <w:top w:w="80" w:type="dxa"/>
              <w:start w:w="120" w:type="dxa"/>
              <w:bottom w:w="80" w:type="dxa"/>
              <w:end w:w="120" w:type="dxa"/>
            </w:tcMar>
          </w:tcPr>
          <w:p>
            <w:pPr>
              <w:spacing w:after="0"/>
            </w:pPr>
            <w:r>
              <w:rPr>
                <w:sz w:val="16"/>
              </w:rPr>
              <w:t>A human approver approves or returns the recommendation with rationale.</w:t>
            </w:r>
          </w:p>
        </w:tc>
      </w:tr>
      <w:tr>
        <w:trPr>
          <w:cantSplit/>
        </w:trPr>
        <w:tc>
          <w:tcPr>
            <w:tcW w:type="dxa" w:w="850"/>
            <w:vAlign w:val="top"/>
            <w:tcMar>
              <w:top w:w="80" w:type="dxa"/>
              <w:start w:w="120" w:type="dxa"/>
              <w:bottom w:w="80" w:type="dxa"/>
              <w:end w:w="120" w:type="dxa"/>
            </w:tcMar>
          </w:tcPr>
          <w:p>
            <w:pPr>
              <w:spacing w:after="0"/>
            </w:pPr>
            <w:r>
              <w:rPr>
                <w:sz w:val="16"/>
              </w:rPr>
              <w:t>13</w:t>
            </w:r>
          </w:p>
        </w:tc>
        <w:tc>
          <w:tcPr>
            <w:tcW w:type="dxa" w:w="8510"/>
            <w:vAlign w:val="top"/>
            <w:tcMar>
              <w:top w:w="80" w:type="dxa"/>
              <w:start w:w="120" w:type="dxa"/>
              <w:bottom w:w="80" w:type="dxa"/>
              <w:end w:w="120" w:type="dxa"/>
            </w:tcMar>
          </w:tcPr>
          <w:p>
            <w:pPr>
              <w:spacing w:after="0"/>
            </w:pPr>
            <w:r>
              <w:rPr>
                <w:sz w:val="16"/>
              </w:rPr>
              <w:t>The winning bid and approved contract commitments become the post-award baseline.</w:t>
            </w:r>
          </w:p>
        </w:tc>
      </w:tr>
      <w:tr>
        <w:trPr>
          <w:cantSplit/>
        </w:trPr>
        <w:tc>
          <w:tcPr>
            <w:tcW w:type="dxa" w:w="850"/>
            <w:vAlign w:val="top"/>
            <w:tcMar>
              <w:top w:w="80" w:type="dxa"/>
              <w:start w:w="120" w:type="dxa"/>
              <w:bottom w:w="80" w:type="dxa"/>
              <w:end w:w="120" w:type="dxa"/>
            </w:tcMar>
          </w:tcPr>
          <w:p>
            <w:pPr>
              <w:spacing w:after="0"/>
            </w:pPr>
            <w:r>
              <w:rPr>
                <w:sz w:val="16"/>
              </w:rPr>
              <w:t>14</w:t>
            </w:r>
          </w:p>
        </w:tc>
        <w:tc>
          <w:tcPr>
            <w:tcW w:type="dxa" w:w="8510"/>
            <w:vAlign w:val="top"/>
            <w:tcMar>
              <w:top w:w="80" w:type="dxa"/>
              <w:start w:w="120" w:type="dxa"/>
              <w:bottom w:w="80" w:type="dxa"/>
              <w:end w:w="120" w:type="dxa"/>
            </w:tcMar>
          </w:tcPr>
          <w:p>
            <w:pPr>
              <w:spacing w:after="0"/>
            </w:pPr>
            <w:r>
              <w:rPr>
                <w:sz w:val="16"/>
              </w:rPr>
              <w:t>A historical replay or synthetic execution period shows KPI deterioration and/or rate leakage, changing the vendor score and creating a corrective action.</w:t>
            </w:r>
          </w:p>
        </w:tc>
      </w:tr>
      <w:tr>
        <w:trPr>
          <w:cantSplit/>
        </w:trPr>
        <w:tc>
          <w:tcPr>
            <w:tcW w:type="dxa" w:w="850"/>
            <w:vAlign w:val="top"/>
            <w:tcMar>
              <w:top w:w="80" w:type="dxa"/>
              <w:start w:w="120" w:type="dxa"/>
              <w:bottom w:w="80" w:type="dxa"/>
              <w:end w:w="120" w:type="dxa"/>
            </w:tcMar>
          </w:tcPr>
          <w:p>
            <w:pPr>
              <w:spacing w:after="0"/>
            </w:pPr>
            <w:r>
              <w:rPr>
                <w:sz w:val="16"/>
              </w:rPr>
              <w:t>15</w:t>
            </w:r>
          </w:p>
        </w:tc>
        <w:tc>
          <w:tcPr>
            <w:tcW w:type="dxa" w:w="8510"/>
            <w:vAlign w:val="top"/>
            <w:tcMar>
              <w:top w:w="80" w:type="dxa"/>
              <w:start w:w="120" w:type="dxa"/>
              <w:bottom w:w="80" w:type="dxa"/>
              <w:end w:w="120" w:type="dxa"/>
            </w:tcMar>
          </w:tcPr>
          <w:p>
            <w:r>
              <w:t>Compass links a relevant German supplier-performance email, presents a clearly labelled British English translation for review, drafts a German corrective-action request and requires user approval before sending.</w:t>
            </w:r>
          </w:p>
        </w:tc>
      </w:tr>
      <w:tr>
        <w:trPr>
          <w:cantSplit/>
        </w:trPr>
        <w:tc>
          <w:tcPr>
            <w:tcW w:type="dxa" w:w="850"/>
            <w:vAlign w:val="top"/>
            <w:tcMar>
              <w:top w:w="80" w:type="dxa"/>
              <w:start w:w="120" w:type="dxa"/>
              <w:bottom w:w="80" w:type="dxa"/>
              <w:end w:w="120" w:type="dxa"/>
            </w:tcMar>
          </w:tcPr>
          <w:p>
            <w:pPr>
              <w:spacing w:after="0"/>
            </w:pPr>
            <w:r>
              <w:rPr>
                <w:sz w:val="16"/>
              </w:rPr>
              <w:t>16</w:t>
            </w:r>
          </w:p>
        </w:tc>
        <w:tc>
          <w:tcPr>
            <w:tcW w:type="dxa" w:w="8510"/>
            <w:vAlign w:val="top"/>
            <w:tcMar>
              <w:top w:w="80" w:type="dxa"/>
              <w:start w:w="120" w:type="dxa"/>
              <w:bottom w:w="80" w:type="dxa"/>
              <w:end w:w="120" w:type="dxa"/>
            </w:tcMar>
          </w:tcPr>
          <w:p>
            <w:pPr>
              <w:spacing w:after="0"/>
            </w:pPr>
            <w:r>
              <w:rPr>
                <w:sz w:val="16"/>
              </w:rPr>
              <w:t>The Vendor 360 profile retains the outcome; a renewal action shows how actual experience informs the next sourcing decision.</w:t>
            </w:r>
          </w:p>
        </w:tc>
      </w:tr>
      <w:tr>
        <w:trPr>
          <w:cantSplit/>
          <w:cantSplit/>
        </w:trPr>
        <w:tc>
          <w:tcPr>
            <w:tcW w:type="dxa" w:w="850"/>
            <w:vAlign w:val="top"/>
            <w:tcMar>
              <w:top w:w="80" w:type="dxa"/>
              <w:start w:w="120" w:type="dxa"/>
              <w:bottom w:w="80" w:type="dxa"/>
              <w:end w:w="120" w:type="dxa"/>
            </w:tcMar>
          </w:tcPr>
          <w:p>
            <w:pPr/>
            <w:r>
              <w:rPr>
                <w:sz w:val="16"/>
              </w:rPr>
              <w:t>17</w:t>
            </w:r>
          </w:p>
        </w:tc>
        <w:tc>
          <w:tcPr>
            <w:tcW w:type="dxa" w:w="8510"/>
            <w:vAlign w:val="top"/>
            <w:tcMar>
              <w:top w:w="80" w:type="dxa"/>
              <w:start w:w="120" w:type="dxa"/>
              <w:bottom w:w="80" w:type="dxa"/>
              <w:end w:w="120" w:type="dxa"/>
            </w:tcMar>
          </w:tcPr>
          <w:p>
            <w:pPr/>
            <w:r>
              <w:rPr>
                <w:sz w:val="16"/>
              </w:rPr>
              <w:t>The user resets the scenario or returns to a saved checkpoint to demonstrate that the workflow can be replayed from a consistent starting state.</w:t>
            </w:r>
          </w:p>
        </w:tc>
      </w:tr>
    </w:tbl>
    <w:p>
      <w:pPr>
        <w:spacing w:after="0"/>
      </w:pPr>
    </w:p>
    <w:p>
      <w:pPr>
        <w:pStyle w:val="Heading1"/>
      </w:pPr>
      <w:r>
        <w:t>16. Prototype Outputs</w:t>
      </w:r>
    </w:p>
    <w:p>
      <w:pPr>
        <w:pStyle w:val="ListBullet"/>
      </w:pPr>
      <w:r>
        <w:t>Future Energy Action Centre pattern extended to show both sourcing and vendor-performance actions.</w:t>
      </w:r>
    </w:p>
    <w:p>
      <w:pPr>
        <w:pStyle w:val="ListBullet"/>
      </w:pPr>
      <w:r>
        <w:t>A logistics sourcing-event record, source-grounded requirement register and AI-assisted RFP/ITT preview with requirement-level citations.</w:t>
      </w:r>
    </w:p>
    <w:p>
      <w:pPr>
        <w:pStyle w:val="ListBullet"/>
      </w:pPr>
      <w:r>
        <w:t>Bid completeness, normalization, qualification and evaluation views.</w:t>
      </w:r>
    </w:p>
    <w:p>
      <w:pPr>
        <w:pStyle w:val="ListBullet"/>
      </w:pPr>
      <w:r>
        <w:t>Award scenario comparison and evidence-backed recommendation.</w:t>
      </w:r>
    </w:p>
    <w:p>
      <w:pPr>
        <w:pStyle w:val="ListBullet"/>
      </w:pPr>
      <w:r>
        <w:t>Human approval / return-for-revision workflow and decision record.</w:t>
      </w:r>
    </w:p>
    <w:p>
      <w:pPr>
        <w:pStyle w:val="ListBullet"/>
      </w:pPr>
      <w:r>
        <w:t>Vendor 360 profiles for at least one incumbent and one challenger.</w:t>
      </w:r>
    </w:p>
    <w:p>
      <w:pPr>
        <w:pStyle w:val="ListBullet"/>
      </w:pPr>
      <w:r>
        <w:t>Transparent vendor scorecard with component calculations and score trend.</w:t>
      </w:r>
    </w:p>
    <w:p>
      <w:pPr>
        <w:pStyle w:val="ListBullet"/>
      </w:pPr>
      <w:r>
        <w:t>Post-award performance alert and corrective-action workflow.</w:t>
      </w:r>
    </w:p>
    <w:p>
      <w:pPr>
        <w:pStyle w:val="ListBullet"/>
      </w:pPr>
      <w:r>
        <w:t>Renewal/re-tender action that carries forward verified history.</w:t>
      </w:r>
    </w:p>
    <w:p>
      <w:pPr>
        <w:pStyle w:val="ListBullet"/>
      </w:pPr>
      <w:r>
        <w:t>Future Energy communications pattern connected to a dedicated demonstration Gmail inbox containing relevant, irrelevant and ambiguous messages.</w:t>
      </w:r>
    </w:p>
    <w:p>
      <w:pPr>
        <w:pStyle w:val="ListBullet"/>
      </w:pPr>
      <w:r>
        <w:t>Email classification explanation and uncertain-message review queue.</w:t>
      </w:r>
    </w:p>
    <w:p>
      <w:pPr>
        <w:pStyle w:val="ListBullet"/>
      </w:pPr>
      <w:r>
        <w:t>Governed supplier-email drafting, validation, approval and communication history.</w:t>
      </w:r>
    </w:p>
    <w:p>
      <w:pPr>
        <w:pStyle w:val="ListBullet"/>
      </w:pPr>
      <w:r>
        <w:t>British English and German RFP/ITT, supplier-email and performance-communication examples with original-language evidence and clearly labelled translations.</w:t>
      </w:r>
    </w:p>
    <w:p>
      <w:pPr>
        <w:pStyle w:val="Heading1"/>
      </w:pPr>
      <w:r>
        <w:t>17. Success Measures and Acceptance Criteria</w:t>
      </w:r>
    </w:p>
    <w:tbl>
      <w:tblPr>
        <w:tblStyle w:val="TableGrid"/>
        <w:tblW w:type="dxa" w:w="9360"/>
        <w:jc w:val="left"/>
        <w:tblLayout w:type="fixed"/>
        <w:tblLook w:firstColumn="1" w:firstRow="1" w:lastColumn="0" w:lastRow="0" w:noHBand="0" w:noVBand="1" w:val="04A0"/>
        <w:tblInd w:w="120" w:type="dxa"/>
      </w:tblPr>
      <w:tblGrid>
        <w:gridCol w:w="1000"/>
        <w:gridCol w:w="8360"/>
      </w:tblGrid>
      <w:tr>
        <w:trPr>
          <w:tblHeader w:val="true"/>
        </w:trPr>
        <w:tc>
          <w:tcPr>
            <w:tcW w:type="dxa" w:w="1000"/>
            <w:shd w:fill="E8EEF5"/>
            <w:vAlign w:val="center"/>
            <w:tcMar>
              <w:top w:w="80" w:type="dxa"/>
              <w:start w:w="120" w:type="dxa"/>
              <w:bottom w:w="80" w:type="dxa"/>
              <w:end w:w="120" w:type="dxa"/>
            </w:tcMar>
          </w:tcPr>
          <w:p>
            <w:r>
              <w:rPr>
                <w:b/>
                <w:color w:val="17365D"/>
                <w:sz w:val="16"/>
              </w:rPr>
              <w:t>ID</w:t>
            </w:r>
          </w:p>
        </w:tc>
        <w:tc>
          <w:tcPr>
            <w:tcW w:type="dxa" w:w="8360"/>
            <w:shd w:fill="E8EEF5"/>
            <w:vAlign w:val="center"/>
            <w:tcMar>
              <w:top w:w="80" w:type="dxa"/>
              <w:start w:w="120" w:type="dxa"/>
              <w:bottom w:w="80" w:type="dxa"/>
              <w:end w:w="120" w:type="dxa"/>
            </w:tcMar>
          </w:tcPr>
          <w:p>
            <w:r>
              <w:rPr>
                <w:b/>
                <w:color w:val="17365D"/>
                <w:sz w:val="16"/>
              </w:rPr>
              <w:t>Acceptance criterion</w:t>
            </w:r>
          </w:p>
        </w:tc>
      </w:tr>
      <w:tr>
        <w:trPr>
          <w:cantSplit/>
        </w:trPr>
        <w:tc>
          <w:tcPr>
            <w:tcW w:type="dxa" w:w="1000"/>
            <w:vAlign w:val="top"/>
            <w:tcMar>
              <w:top w:w="80" w:type="dxa"/>
              <w:start w:w="120" w:type="dxa"/>
              <w:bottom w:w="80" w:type="dxa"/>
              <w:end w:w="120" w:type="dxa"/>
            </w:tcMar>
          </w:tcPr>
          <w:p>
            <w:pPr>
              <w:spacing w:after="0"/>
            </w:pPr>
            <w:r>
              <w:rPr>
                <w:sz w:val="16"/>
              </w:rPr>
              <w:t>AC-01</w:t>
            </w:r>
          </w:p>
        </w:tc>
        <w:tc>
          <w:tcPr>
            <w:tcW w:type="dxa" w:w="8360"/>
            <w:vAlign w:val="top"/>
            <w:tcMar>
              <w:top w:w="80" w:type="dxa"/>
              <w:start w:w="120" w:type="dxa"/>
              <w:bottom w:w="80" w:type="dxa"/>
              <w:end w:w="120" w:type="dxa"/>
            </w:tcMar>
          </w:tcPr>
          <w:p>
            <w:pPr>
              <w:spacing w:after="0"/>
            </w:pPr>
            <w:r>
              <w:rPr>
                <w:sz w:val="16"/>
              </w:rPr>
              <w:t>A reviewer can follow one sourcing event from identified need through award, monitoring and renewal/re-tender without losing the decision history.</w:t>
            </w:r>
          </w:p>
        </w:tc>
      </w:tr>
      <w:tr>
        <w:trPr>
          <w:cantSplit/>
        </w:trPr>
        <w:tc>
          <w:tcPr>
            <w:tcW w:type="dxa" w:w="1000"/>
            <w:vAlign w:val="top"/>
            <w:tcMar>
              <w:top w:w="80" w:type="dxa"/>
              <w:start w:w="120" w:type="dxa"/>
              <w:bottom w:w="80" w:type="dxa"/>
              <w:end w:w="120" w:type="dxa"/>
            </w:tcMar>
          </w:tcPr>
          <w:p>
            <w:pPr>
              <w:spacing w:after="0"/>
            </w:pPr>
            <w:r>
              <w:rPr>
                <w:sz w:val="16"/>
              </w:rPr>
              <w:t>AC-02</w:t>
            </w:r>
          </w:p>
        </w:tc>
        <w:tc>
          <w:tcPr>
            <w:tcW w:type="dxa" w:w="8360"/>
            <w:vAlign w:val="top"/>
            <w:tcMar>
              <w:top w:w="80" w:type="dxa"/>
              <w:start w:w="120" w:type="dxa"/>
              <w:bottom w:w="80" w:type="dxa"/>
              <w:end w:w="120" w:type="dxa"/>
            </w:tcMar>
          </w:tcPr>
          <w:p>
            <w:pPr>
              <w:spacing w:after="0"/>
            </w:pPr>
            <w:r>
              <w:rPr>
                <w:sz w:val="16"/>
              </w:rPr>
              <w:t>The sourcing package contains the agreed lane, volume, service, SLA/KPI, pricing and commercial requirements, with missing inputs clearly identified.</w:t>
            </w:r>
          </w:p>
        </w:tc>
      </w:tr>
      <w:tr>
        <w:trPr>
          <w:cantSplit/>
        </w:trPr>
        <w:tc>
          <w:tcPr>
            <w:tcW w:type="dxa" w:w="1000"/>
            <w:vAlign w:val="top"/>
            <w:tcMar>
              <w:top w:w="80" w:type="dxa"/>
              <w:start w:w="120" w:type="dxa"/>
              <w:bottom w:w="80" w:type="dxa"/>
              <w:end w:w="120" w:type="dxa"/>
            </w:tcMar>
          </w:tcPr>
          <w:p>
            <w:pPr>
              <w:spacing w:after="0"/>
            </w:pPr>
            <w:r>
              <w:rPr>
                <w:sz w:val="16"/>
              </w:rPr>
              <w:t>AC-03</w:t>
            </w:r>
          </w:p>
        </w:tc>
        <w:tc>
          <w:tcPr>
            <w:tcW w:type="dxa" w:w="8360"/>
            <w:vAlign w:val="top"/>
            <w:tcMar>
              <w:top w:w="80" w:type="dxa"/>
              <w:start w:w="120" w:type="dxa"/>
              <w:bottom w:w="80" w:type="dxa"/>
              <w:end w:w="120" w:type="dxa"/>
            </w:tcMar>
          </w:tcPr>
          <w:p>
            <w:pPr>
              <w:spacing w:after="0"/>
            </w:pPr>
            <w:r>
              <w:rPr>
                <w:sz w:val="16"/>
              </w:rPr>
              <w:t>At least three materially different carrier proposals can be normalised and compared while preserving original proposal evidence.</w:t>
            </w:r>
          </w:p>
        </w:tc>
      </w:tr>
      <w:tr>
        <w:trPr>
          <w:cantSplit/>
        </w:trPr>
        <w:tc>
          <w:tcPr>
            <w:tcW w:type="dxa" w:w="1000"/>
            <w:vAlign w:val="top"/>
            <w:tcMar>
              <w:top w:w="80" w:type="dxa"/>
              <w:start w:w="120" w:type="dxa"/>
              <w:bottom w:w="80" w:type="dxa"/>
              <w:end w:w="120" w:type="dxa"/>
            </w:tcMar>
          </w:tcPr>
          <w:p>
            <w:pPr>
              <w:spacing w:after="0"/>
            </w:pPr>
            <w:r>
              <w:rPr>
                <w:sz w:val="16"/>
              </w:rPr>
              <w:t>AC-04</w:t>
            </w:r>
          </w:p>
        </w:tc>
        <w:tc>
          <w:tcPr>
            <w:tcW w:type="dxa" w:w="8360"/>
            <w:vAlign w:val="top"/>
            <w:tcMar>
              <w:top w:w="80" w:type="dxa"/>
              <w:start w:w="120" w:type="dxa"/>
              <w:bottom w:w="80" w:type="dxa"/>
              <w:end w:w="120" w:type="dxa"/>
            </w:tcMar>
          </w:tcPr>
          <w:p>
            <w:pPr>
              <w:spacing w:after="0"/>
            </w:pPr>
            <w:r>
              <w:rPr>
                <w:sz w:val="16"/>
              </w:rPr>
              <w:t>Qualification gates are visibly separate from weighted scoring and failed/missing evidence is handled explicitly.</w:t>
            </w:r>
          </w:p>
        </w:tc>
      </w:tr>
      <w:tr>
        <w:trPr>
          <w:cantSplit/>
        </w:trPr>
        <w:tc>
          <w:tcPr>
            <w:tcW w:type="dxa" w:w="1000"/>
            <w:vAlign w:val="top"/>
            <w:tcMar>
              <w:top w:w="80" w:type="dxa"/>
              <w:start w:w="120" w:type="dxa"/>
              <w:bottom w:w="80" w:type="dxa"/>
              <w:end w:w="120" w:type="dxa"/>
            </w:tcMar>
          </w:tcPr>
          <w:p>
            <w:pPr>
              <w:spacing w:after="0"/>
            </w:pPr>
            <w:r>
              <w:rPr>
                <w:sz w:val="16"/>
              </w:rPr>
              <w:t>AC-05</w:t>
            </w:r>
          </w:p>
        </w:tc>
        <w:tc>
          <w:tcPr>
            <w:tcW w:type="dxa" w:w="8360"/>
            <w:vAlign w:val="top"/>
            <w:tcMar>
              <w:top w:w="80" w:type="dxa"/>
              <w:start w:w="120" w:type="dxa"/>
              <w:bottom w:w="80" w:type="dxa"/>
              <w:end w:w="120" w:type="dxa"/>
            </w:tcMar>
          </w:tcPr>
          <w:p>
            <w:pPr>
              <w:spacing w:after="0"/>
            </w:pPr>
            <w:r>
              <w:rPr>
                <w:sz w:val="16"/>
              </w:rPr>
              <w:t>An incumbent performance record affects evaluation only through an approved and visible method; a challenger is displayed as No History.</w:t>
            </w:r>
          </w:p>
        </w:tc>
      </w:tr>
      <w:tr>
        <w:trPr>
          <w:cantSplit/>
        </w:trPr>
        <w:tc>
          <w:tcPr>
            <w:tcW w:type="dxa" w:w="1000"/>
            <w:vAlign w:val="top"/>
            <w:tcMar>
              <w:top w:w="80" w:type="dxa"/>
              <w:start w:w="120" w:type="dxa"/>
              <w:bottom w:w="80" w:type="dxa"/>
              <w:end w:w="120" w:type="dxa"/>
            </w:tcMar>
          </w:tcPr>
          <w:p>
            <w:pPr>
              <w:spacing w:after="0"/>
            </w:pPr>
            <w:r>
              <w:rPr>
                <w:sz w:val="16"/>
              </w:rPr>
              <w:t>AC-06</w:t>
            </w:r>
          </w:p>
        </w:tc>
        <w:tc>
          <w:tcPr>
            <w:tcW w:type="dxa" w:w="8360"/>
            <w:vAlign w:val="top"/>
            <w:tcMar>
              <w:top w:w="80" w:type="dxa"/>
              <w:start w:w="120" w:type="dxa"/>
              <w:bottom w:w="80" w:type="dxa"/>
              <w:end w:w="120" w:type="dxa"/>
            </w:tcMar>
          </w:tcPr>
          <w:p>
            <w:pPr>
              <w:spacing w:after="0"/>
            </w:pPr>
            <w:r>
              <w:rPr>
                <w:sz w:val="16"/>
              </w:rPr>
              <w:t>An award recommendation shows cost, service, capacity/concentration, vendor-history and risk trade-offs plus assumptions and evidence links.</w:t>
            </w:r>
          </w:p>
        </w:tc>
      </w:tr>
      <w:tr>
        <w:trPr>
          <w:cantSplit/>
        </w:trPr>
        <w:tc>
          <w:tcPr>
            <w:tcW w:type="dxa" w:w="1000"/>
            <w:vAlign w:val="top"/>
            <w:tcMar>
              <w:top w:w="80" w:type="dxa"/>
              <w:start w:w="120" w:type="dxa"/>
              <w:bottom w:w="80" w:type="dxa"/>
              <w:end w:w="120" w:type="dxa"/>
            </w:tcMar>
          </w:tcPr>
          <w:p>
            <w:pPr>
              <w:spacing w:after="0"/>
            </w:pPr>
            <w:r>
              <w:rPr>
                <w:sz w:val="16"/>
              </w:rPr>
              <w:t>AC-07</w:t>
            </w:r>
          </w:p>
        </w:tc>
        <w:tc>
          <w:tcPr>
            <w:tcW w:type="dxa" w:w="8360"/>
            <w:vAlign w:val="top"/>
            <w:tcMar>
              <w:top w:w="80" w:type="dxa"/>
              <w:start w:w="120" w:type="dxa"/>
              <w:bottom w:w="80" w:type="dxa"/>
              <w:end w:w="120" w:type="dxa"/>
            </w:tcMar>
          </w:tcPr>
          <w:p>
            <w:pPr>
              <w:spacing w:after="0"/>
            </w:pPr>
            <w:r>
              <w:rPr>
                <w:sz w:val="16"/>
              </w:rPr>
              <w:t>A human approval or return-for-revision is required and retained in the audit history.</w:t>
            </w:r>
          </w:p>
        </w:tc>
      </w:tr>
      <w:tr>
        <w:trPr>
          <w:cantSplit/>
        </w:trPr>
        <w:tc>
          <w:tcPr>
            <w:tcW w:type="dxa" w:w="1000"/>
            <w:vAlign w:val="top"/>
            <w:tcMar>
              <w:top w:w="80" w:type="dxa"/>
              <w:start w:w="120" w:type="dxa"/>
              <w:bottom w:w="80" w:type="dxa"/>
              <w:end w:w="120" w:type="dxa"/>
            </w:tcMar>
          </w:tcPr>
          <w:p>
            <w:pPr>
              <w:spacing w:after="0"/>
            </w:pPr>
            <w:r>
              <w:rPr>
                <w:sz w:val="16"/>
              </w:rPr>
              <w:t>AC-08</w:t>
            </w:r>
          </w:p>
        </w:tc>
        <w:tc>
          <w:tcPr>
            <w:tcW w:type="dxa" w:w="8360"/>
            <w:vAlign w:val="top"/>
            <w:tcMar>
              <w:top w:w="80" w:type="dxa"/>
              <w:start w:w="120" w:type="dxa"/>
              <w:bottom w:w="80" w:type="dxa"/>
              <w:end w:w="120" w:type="dxa"/>
            </w:tcMar>
          </w:tcPr>
          <w:p>
            <w:pPr>
              <w:spacing w:after="0"/>
            </w:pPr>
            <w:r>
              <w:rPr>
                <w:sz w:val="16"/>
              </w:rPr>
              <w:t>Awarded commitments are transformed into a visible performance baseline without manual re-keying in the demonstration flow.</w:t>
            </w:r>
          </w:p>
        </w:tc>
      </w:tr>
      <w:tr>
        <w:trPr>
          <w:cantSplit/>
        </w:trPr>
        <w:tc>
          <w:tcPr>
            <w:tcW w:type="dxa" w:w="1000"/>
            <w:vAlign w:val="top"/>
            <w:tcMar>
              <w:top w:w="80" w:type="dxa"/>
              <w:start w:w="120" w:type="dxa"/>
              <w:bottom w:w="80" w:type="dxa"/>
              <w:end w:w="120" w:type="dxa"/>
            </w:tcMar>
          </w:tcPr>
          <w:p>
            <w:pPr>
              <w:spacing w:after="0"/>
            </w:pPr>
            <w:r>
              <w:rPr>
                <w:sz w:val="16"/>
              </w:rPr>
              <w:t>AC-09</w:t>
            </w:r>
          </w:p>
        </w:tc>
        <w:tc>
          <w:tcPr>
            <w:tcW w:type="dxa" w:w="8360"/>
            <w:vAlign w:val="top"/>
            <w:tcMar>
              <w:top w:w="80" w:type="dxa"/>
              <w:start w:w="120" w:type="dxa"/>
              <w:bottom w:w="80" w:type="dxa"/>
              <w:end w:w="120" w:type="dxa"/>
            </w:tcMar>
          </w:tcPr>
          <w:p>
            <w:pPr>
              <w:spacing w:after="0"/>
            </w:pPr>
            <w:r>
              <w:rPr>
                <w:sz w:val="16"/>
              </w:rPr>
              <w:t>A post-award variance updates component performance metrics and score reproducibly and creates an explainable action.</w:t>
            </w:r>
          </w:p>
        </w:tc>
      </w:tr>
      <w:tr>
        <w:trPr>
          <w:cantSplit/>
        </w:trPr>
        <w:tc>
          <w:tcPr>
            <w:tcW w:type="dxa" w:w="1000"/>
            <w:vAlign w:val="top"/>
            <w:tcMar>
              <w:top w:w="80" w:type="dxa"/>
              <w:start w:w="120" w:type="dxa"/>
              <w:bottom w:w="80" w:type="dxa"/>
              <w:end w:w="120" w:type="dxa"/>
            </w:tcMar>
          </w:tcPr>
          <w:p>
            <w:pPr>
              <w:spacing w:after="0"/>
            </w:pPr>
            <w:r>
              <w:rPr>
                <w:sz w:val="16"/>
              </w:rPr>
              <w:t>AC-10</w:t>
            </w:r>
          </w:p>
        </w:tc>
        <w:tc>
          <w:tcPr>
            <w:tcW w:type="dxa" w:w="8360"/>
            <w:vAlign w:val="top"/>
            <w:tcMar>
              <w:top w:w="80" w:type="dxa"/>
              <w:start w:w="120" w:type="dxa"/>
              <w:bottom w:w="80" w:type="dxa"/>
              <w:end w:w="120" w:type="dxa"/>
            </w:tcMar>
          </w:tcPr>
          <w:p>
            <w:pPr>
              <w:spacing w:after="0"/>
            </w:pPr>
            <w:r>
              <w:rPr>
                <w:sz w:val="16"/>
              </w:rPr>
              <w:t>Vendor 360 shows sourcing, contract, execution, score and corrective-action history, including source and recency.</w:t>
            </w:r>
          </w:p>
        </w:tc>
      </w:tr>
      <w:tr>
        <w:trPr>
          <w:cantSplit/>
        </w:trPr>
        <w:tc>
          <w:tcPr>
            <w:tcW w:type="dxa" w:w="1000"/>
            <w:vAlign w:val="top"/>
            <w:tcMar>
              <w:top w:w="80" w:type="dxa"/>
              <w:start w:w="120" w:type="dxa"/>
              <w:bottom w:w="80" w:type="dxa"/>
              <w:end w:w="120" w:type="dxa"/>
            </w:tcMar>
          </w:tcPr>
          <w:p>
            <w:pPr>
              <w:spacing w:after="0"/>
            </w:pPr>
            <w:r>
              <w:rPr>
                <w:sz w:val="16"/>
              </w:rPr>
              <w:t>AC-11</w:t>
            </w:r>
          </w:p>
        </w:tc>
        <w:tc>
          <w:tcPr>
            <w:tcW w:type="dxa" w:w="8360"/>
            <w:vAlign w:val="top"/>
            <w:tcMar>
              <w:top w:w="80" w:type="dxa"/>
              <w:start w:w="120" w:type="dxa"/>
              <w:bottom w:w="80" w:type="dxa"/>
              <w:end w:w="120" w:type="dxa"/>
            </w:tcMar>
          </w:tcPr>
          <w:p>
            <w:pPr>
              <w:spacing w:after="0"/>
            </w:pPr>
            <w:r>
              <w:rPr>
                <w:sz w:val="16"/>
              </w:rPr>
              <w:t>The renewal/re-tender view reuses verified performance history and identifies the operational drivers relevant to the next event.</w:t>
            </w:r>
          </w:p>
        </w:tc>
      </w:tr>
      <w:tr>
        <w:trPr>
          <w:cantSplit/>
        </w:trPr>
        <w:tc>
          <w:tcPr>
            <w:tcW w:type="dxa" w:w="1000"/>
            <w:vAlign w:val="top"/>
            <w:tcMar>
              <w:top w:w="80" w:type="dxa"/>
              <w:start w:w="120" w:type="dxa"/>
              <w:bottom w:w="80" w:type="dxa"/>
              <w:end w:w="120" w:type="dxa"/>
            </w:tcMar>
          </w:tcPr>
          <w:p>
            <w:pPr>
              <w:spacing w:after="0"/>
            </w:pPr>
            <w:r>
              <w:rPr>
                <w:sz w:val="16"/>
              </w:rPr>
              <w:t>AC-12</w:t>
            </w:r>
          </w:p>
        </w:tc>
        <w:tc>
          <w:tcPr>
            <w:tcW w:type="dxa" w:w="8360"/>
            <w:vAlign w:val="top"/>
            <w:tcMar>
              <w:top w:w="80" w:type="dxa"/>
              <w:start w:w="120" w:type="dxa"/>
              <w:bottom w:w="80" w:type="dxa"/>
              <w:end w:w="120" w:type="dxa"/>
            </w:tcMar>
          </w:tcPr>
          <w:p>
            <w:pPr>
              <w:spacing w:after="0"/>
            </w:pPr>
            <w:r>
              <w:rPr>
                <w:sz w:val="16"/>
              </w:rPr>
              <w:t>No screen presents synthetic values as actual customer facts or unsupported estimates as observed outcomes.</w:t>
            </w:r>
          </w:p>
        </w:tc>
      </w:tr>
      <w:tr>
        <w:trPr>
          <w:cantSplit/>
        </w:trPr>
        <w:tc>
          <w:tcPr>
            <w:tcW w:type="dxa" w:w="1000"/>
            <w:vAlign w:val="top"/>
            <w:tcMar>
              <w:top w:w="80" w:type="dxa"/>
              <w:start w:w="120" w:type="dxa"/>
              <w:bottom w:w="80" w:type="dxa"/>
              <w:end w:w="120" w:type="dxa"/>
            </w:tcMar>
          </w:tcPr>
          <w:p>
            <w:pPr>
              <w:spacing w:after="0"/>
            </w:pPr>
            <w:r>
              <w:rPr>
                <w:sz w:val="16"/>
              </w:rPr>
              <w:t>AC-13</w:t>
            </w:r>
          </w:p>
        </w:tc>
        <w:tc>
          <w:tcPr>
            <w:tcW w:type="dxa" w:w="8360"/>
            <w:vAlign w:val="top"/>
            <w:tcMar>
              <w:top w:w="80" w:type="dxa"/>
              <w:start w:w="120" w:type="dxa"/>
              <w:bottom w:w="80" w:type="dxa"/>
              <w:end w:w="120" w:type="dxa"/>
            </w:tcMar>
          </w:tcPr>
          <w:p>
            <w:pPr>
              <w:spacing w:after="0"/>
            </w:pPr>
            <w:r>
              <w:rPr>
                <w:sz w:val="16"/>
              </w:rPr>
              <w:t>Every test email is classified as Confirmed Relevant, Potentially Relevant or Not Relevant with visible classification reasons.</w:t>
            </w:r>
          </w:p>
        </w:tc>
      </w:tr>
      <w:tr>
        <w:trPr>
          <w:cantSplit/>
        </w:trPr>
        <w:tc>
          <w:tcPr>
            <w:tcW w:type="dxa" w:w="1000"/>
            <w:vAlign w:val="top"/>
            <w:tcMar>
              <w:top w:w="80" w:type="dxa"/>
              <w:start w:w="120" w:type="dxa"/>
              <w:bottom w:w="80" w:type="dxa"/>
              <w:end w:w="120" w:type="dxa"/>
            </w:tcMar>
          </w:tcPr>
          <w:p>
            <w:pPr>
              <w:spacing w:after="0"/>
            </w:pPr>
            <w:r>
              <w:rPr>
                <w:sz w:val="16"/>
              </w:rPr>
              <w:t>AC-14</w:t>
            </w:r>
          </w:p>
        </w:tc>
        <w:tc>
          <w:tcPr>
            <w:tcW w:type="dxa" w:w="8360"/>
            <w:vAlign w:val="top"/>
            <w:tcMar>
              <w:top w:w="80" w:type="dxa"/>
              <w:start w:w="120" w:type="dxa"/>
              <w:bottom w:w="80" w:type="dxa"/>
              <w:end w:w="120" w:type="dxa"/>
            </w:tcMar>
          </w:tcPr>
          <w:p>
            <w:pPr>
              <w:spacing w:after="0"/>
            </w:pPr>
            <w:r>
              <w:rPr>
                <w:sz w:val="16"/>
              </w:rPr>
              <w:t>No potentially relevant or unrelated email contributes facts to a bid, vendor profile, score or recommendation without human confirmation.</w:t>
            </w:r>
          </w:p>
        </w:tc>
      </w:tr>
      <w:tr>
        <w:trPr>
          <w:cantSplit/>
        </w:trPr>
        <w:tc>
          <w:tcPr>
            <w:tcW w:type="dxa" w:w="1000"/>
            <w:vAlign w:val="top"/>
            <w:tcMar>
              <w:top w:w="80" w:type="dxa"/>
              <w:start w:w="120" w:type="dxa"/>
              <w:bottom w:w="80" w:type="dxa"/>
              <w:end w:w="120" w:type="dxa"/>
            </w:tcMar>
          </w:tcPr>
          <w:p>
            <w:pPr>
              <w:spacing w:after="0"/>
            </w:pPr>
            <w:r>
              <w:rPr>
                <w:sz w:val="16"/>
              </w:rPr>
              <w:t>AC-15</w:t>
            </w:r>
          </w:p>
        </w:tc>
        <w:tc>
          <w:tcPr>
            <w:tcW w:type="dxa" w:w="8360"/>
            <w:vAlign w:val="top"/>
            <w:tcMar>
              <w:top w:w="80" w:type="dxa"/>
              <w:start w:w="120" w:type="dxa"/>
              <w:bottom w:w="80" w:type="dxa"/>
              <w:end w:w="120" w:type="dxa"/>
            </w:tcMar>
          </w:tcPr>
          <w:p>
            <w:pPr>
              <w:spacing w:after="0"/>
            </w:pPr>
            <w:r>
              <w:rPr>
                <w:sz w:val="16"/>
              </w:rPr>
              <w:t>A revised supplier attachment is recognized as a new version while the original message, attachment and prior version remain accessible.</w:t>
            </w:r>
          </w:p>
        </w:tc>
      </w:tr>
      <w:tr>
        <w:trPr>
          <w:cantSplit/>
        </w:trPr>
        <w:tc>
          <w:tcPr>
            <w:tcW w:type="dxa" w:w="1000"/>
            <w:vAlign w:val="top"/>
            <w:tcMar>
              <w:top w:w="80" w:type="dxa"/>
              <w:start w:w="120" w:type="dxa"/>
              <w:bottom w:w="80" w:type="dxa"/>
              <w:end w:w="120" w:type="dxa"/>
            </w:tcMar>
          </w:tcPr>
          <w:p>
            <w:pPr>
              <w:spacing w:after="0"/>
            </w:pPr>
            <w:r>
              <w:rPr>
                <w:sz w:val="16"/>
              </w:rPr>
              <w:t>AC-16</w:t>
            </w:r>
          </w:p>
        </w:tc>
        <w:tc>
          <w:tcPr>
            <w:tcW w:type="dxa" w:w="8360"/>
            <w:vAlign w:val="top"/>
            <w:tcMar>
              <w:top w:w="80" w:type="dxa"/>
              <w:start w:w="120" w:type="dxa"/>
              <w:bottom w:w="80" w:type="dxa"/>
              <w:end w:w="120" w:type="dxa"/>
            </w:tcMar>
          </w:tcPr>
          <w:p>
            <w:pPr>
              <w:spacing w:after="0"/>
            </w:pPr>
            <w:r>
              <w:rPr>
                <w:sz w:val="16"/>
              </w:rPr>
              <w:t>An outgoing supplier email cannot be sent until recipient, authorisation, content facts, attachment version and confidentiality checks pass and a human approves it.</w:t>
            </w:r>
          </w:p>
        </w:tc>
      </w:tr>
      <w:tr>
        <w:trPr>
          <w:cantSplit/>
        </w:trPr>
        <w:tc>
          <w:tcPr>
            <w:tcW w:type="dxa" w:w="1000"/>
            <w:vAlign w:val="top"/>
            <w:tcMar>
              <w:top w:w="80" w:type="dxa"/>
              <w:start w:w="120" w:type="dxa"/>
              <w:bottom w:w="80" w:type="dxa"/>
              <w:end w:w="120" w:type="dxa"/>
            </w:tcMar>
          </w:tcPr>
          <w:p>
            <w:pPr>
              <w:spacing w:after="0"/>
            </w:pPr>
            <w:r>
              <w:rPr>
                <w:sz w:val="16"/>
              </w:rPr>
              <w:t>AC-17</w:t>
            </w:r>
          </w:p>
        </w:tc>
        <w:tc>
          <w:tcPr>
            <w:tcW w:type="dxa" w:w="8360"/>
            <w:vAlign w:val="top"/>
            <w:tcMar>
              <w:top w:w="80" w:type="dxa"/>
              <w:start w:w="120" w:type="dxa"/>
              <w:bottom w:w="80" w:type="dxa"/>
              <w:end w:w="120" w:type="dxa"/>
            </w:tcMar>
          </w:tcPr>
          <w:p>
            <w:pPr>
              <w:spacing w:after="0"/>
            </w:pPr>
            <w:r>
              <w:rPr>
                <w:sz w:val="16"/>
              </w:rPr>
              <w:t>A user correction to an email classification is retained with reviewer, rationale and timestamp as an auditable feedback signal.</w:t>
            </w:r>
          </w:p>
        </w:tc>
      </w:tr>
      <w:tr>
        <w:trPr>
          <w:cantSplit/>
        </w:trPr>
        <w:tc>
          <w:tcPr>
            <w:tcW w:type="dxa" w:w="1000"/>
            <w:vAlign w:val="top"/>
            <w:tcMar>
              <w:top w:w="80" w:type="dxa"/>
              <w:start w:w="120" w:type="dxa"/>
              <w:bottom w:w="80" w:type="dxa"/>
              <w:end w:w="120" w:type="dxa"/>
            </w:tcMar>
          </w:tcPr>
          <w:p>
            <w:pPr>
              <w:spacing w:after="0"/>
            </w:pPr>
            <w:r>
              <w:rPr>
                <w:sz w:val="16"/>
              </w:rPr>
              <w:t>AC-18</w:t>
            </w:r>
          </w:p>
        </w:tc>
        <w:tc>
          <w:tcPr>
            <w:tcW w:type="dxa" w:w="8360"/>
            <w:vAlign w:val="top"/>
            <w:tcMar>
              <w:top w:w="80" w:type="dxa"/>
              <w:start w:w="120" w:type="dxa"/>
              <w:bottom w:w="80" w:type="dxa"/>
              <w:end w:w="120" w:type="dxa"/>
            </w:tcMar>
          </w:tcPr>
          <w:p>
            <w:pPr>
              <w:spacing w:after="0"/>
            </w:pPr>
            <w:r>
              <w:rPr>
                <w:sz w:val="16"/>
              </w:rPr>
              <w:t>A material clarification can be converted into a consistent, anonymized draft communication for all affected bidders.</w:t>
            </w:r>
          </w:p>
        </w:tc>
      </w:tr>
      <w:tr>
        <w:trPr>
          <w:cantSplit/>
          <w:cantSplit/>
        </w:trPr>
        <w:tc>
          <w:tcPr>
            <w:tcW w:type="dxa" w:w="1000"/>
            <w:vAlign w:val="top"/>
            <w:tcMar>
              <w:top w:w="80" w:type="dxa"/>
              <w:start w:w="120" w:type="dxa"/>
              <w:bottom w:w="80" w:type="dxa"/>
              <w:end w:w="120" w:type="dxa"/>
            </w:tcMar>
          </w:tcPr>
          <w:p>
            <w:pPr/>
            <w:r>
              <w:rPr>
                <w:sz w:val="16"/>
              </w:rPr>
              <w:t>AC-19</w:t>
            </w:r>
          </w:p>
        </w:tc>
        <w:tc>
          <w:tcPr>
            <w:tcW w:type="dxa" w:w="8360"/>
            <w:vAlign w:val="top"/>
            <w:tcMar>
              <w:top w:w="80" w:type="dxa"/>
              <w:start w:w="120" w:type="dxa"/>
              <w:bottom w:w="80" w:type="dxa"/>
              <w:end w:w="120" w:type="dxa"/>
            </w:tcMar>
          </w:tcPr>
          <w:p>
            <w:pPr/>
            <w:r>
              <w:rPr>
                <w:sz w:val="16"/>
              </w:rPr>
              <w:t>At least six material user actions persist and visibly change a downstream workflow state, available evidence, calculation, recommendation or action.</w:t>
            </w:r>
          </w:p>
        </w:tc>
      </w:tr>
      <w:tr>
        <w:trPr>
          <w:cantSplit/>
          <w:cantSplit/>
          <w:cantSplit/>
        </w:trPr>
        <w:tc>
          <w:tcPr>
            <w:tcW w:type="dxa" w:w="1000"/>
            <w:vAlign w:val="top"/>
            <w:tcMar>
              <w:top w:w="80" w:type="dxa"/>
              <w:start w:w="120" w:type="dxa"/>
              <w:bottom w:w="80" w:type="dxa"/>
              <w:end w:w="120" w:type="dxa"/>
            </w:tcMar>
          </w:tcPr>
          <w:p>
            <w:pPr/>
            <w:r>
              <w:rPr>
                <w:sz w:val="16"/>
              </w:rPr>
              <w:t>AC-20</w:t>
            </w:r>
          </w:p>
        </w:tc>
        <w:tc>
          <w:tcPr>
            <w:tcW w:type="dxa" w:w="8360"/>
            <w:vAlign w:val="top"/>
            <w:tcMar>
              <w:top w:w="80" w:type="dxa"/>
              <w:start w:w="120" w:type="dxa"/>
              <w:bottom w:w="80" w:type="dxa"/>
              <w:end w:w="120" w:type="dxa"/>
            </w:tcMar>
          </w:tcPr>
          <w:p>
            <w:pPr/>
            <w:r>
              <w:rPr>
                <w:sz w:val="16"/>
              </w:rPr>
              <w:t>Supplier responses, revised submissions and post-award execution evidence are unavailable before their configured stage and become available only after the required user action or clearly labelled simulation control.</w:t>
            </w:r>
          </w:p>
        </w:tc>
      </w:tr>
      <w:tr>
        <w:trPr>
          <w:cantSplit/>
          <w:cantSplit/>
          <w:cantSplit/>
          <w:cantSplit/>
        </w:trPr>
        <w:tc>
          <w:tcPr>
            <w:tcW w:type="dxa" w:w="1000"/>
            <w:vAlign w:val="top"/>
            <w:tcMar>
              <w:top w:w="80" w:type="dxa"/>
              <w:start w:w="120" w:type="dxa"/>
              <w:bottom w:w="80" w:type="dxa"/>
              <w:end w:w="120" w:type="dxa"/>
            </w:tcMar>
          </w:tcPr>
          <w:p>
            <w:pPr/>
            <w:r>
              <w:rPr>
                <w:sz w:val="16"/>
              </w:rPr>
              <w:t>AC-21</w:t>
            </w:r>
          </w:p>
        </w:tc>
        <w:tc>
          <w:tcPr>
            <w:tcW w:type="dxa" w:w="8360"/>
            <w:vAlign w:val="top"/>
            <w:tcMar>
              <w:top w:w="80" w:type="dxa"/>
              <w:start w:w="120" w:type="dxa"/>
              <w:bottom w:w="80" w:type="dxa"/>
              <w:end w:w="120" w:type="dxa"/>
            </w:tcMar>
          </w:tcPr>
          <w:p>
            <w:pPr/>
            <w:r>
              <w:rPr>
                <w:sz w:val="16"/>
              </w:rPr>
              <w:t>The scenario can be reset and replayed from the defined starting state with the same source package and deterministic stage transitions.</w:t>
            </w:r>
          </w:p>
        </w:tc>
      </w:tr>
      <w:tr>
        <w:trPr>
          <w:cantSplit/>
          <w:cantSplit/>
          <w:cantSplit/>
          <w:cantSplit/>
        </w:trPr>
        <w:tc>
          <w:tcPr>
            <w:tcW w:type="dxa" w:w="1000"/>
            <w:vAlign w:val="top"/>
            <w:tcMar>
              <w:top w:w="80" w:type="dxa"/>
              <w:start w:w="120" w:type="dxa"/>
              <w:bottom w:w="80" w:type="dxa"/>
              <w:end w:w="120" w:type="dxa"/>
            </w:tcMar>
          </w:tcPr>
          <w:p>
            <w:pPr/>
            <w:r>
              <w:rPr>
                <w:sz w:val="16"/>
              </w:rPr>
              <w:t>AC-22</w:t>
            </w:r>
          </w:p>
        </w:tc>
        <w:tc>
          <w:tcPr>
            <w:tcW w:type="dxa" w:w="8360"/>
            <w:vAlign w:val="top"/>
            <w:tcMar>
              <w:top w:w="80" w:type="dxa"/>
              <w:start w:w="120" w:type="dxa"/>
              <w:bottom w:w="80" w:type="dxa"/>
              <w:end w:w="120" w:type="dxa"/>
            </w:tcMar>
          </w:tcPr>
          <w:p>
            <w:pPr/>
            <w:r>
              <w:rPr>
                <w:sz w:val="16"/>
              </w:rPr>
              <w:t>A user can create and review equivalent RFP/ITT or supplier-communication content in British English and German using the approved terminology.</w:t>
            </w:r>
          </w:p>
        </w:tc>
      </w:tr>
      <w:tr>
        <w:trPr>
          <w:cantSplit/>
          <w:cantSplit/>
          <w:cantSplit/>
          <w:cantSplit/>
        </w:trPr>
        <w:tc>
          <w:tcPr>
            <w:tcW w:type="dxa" w:w="1000"/>
            <w:vAlign w:val="top"/>
            <w:tcMar>
              <w:top w:w="80" w:type="dxa"/>
              <w:start w:w="120" w:type="dxa"/>
              <w:bottom w:w="80" w:type="dxa"/>
              <w:end w:w="120" w:type="dxa"/>
            </w:tcMar>
          </w:tcPr>
          <w:p>
            <w:pPr/>
            <w:r>
              <w:rPr>
                <w:sz w:val="16"/>
              </w:rPr>
              <w:t>AC-23</w:t>
            </w:r>
          </w:p>
        </w:tc>
        <w:tc>
          <w:tcPr>
            <w:tcW w:type="dxa" w:w="8360"/>
            <w:vAlign w:val="top"/>
            <w:tcMar>
              <w:top w:w="80" w:type="dxa"/>
              <w:start w:w="120" w:type="dxa"/>
              <w:bottom w:w="80" w:type="dxa"/>
              <w:end w:w="120" w:type="dxa"/>
            </w:tcMar>
          </w:tcPr>
          <w:p>
            <w:pPr/>
            <w:r>
              <w:rPr>
                <w:sz w:val="16"/>
              </w:rPr>
              <w:t>A German supplier email and attachment are classified, linked and extracted correctly; the original remains accessible as authoritative evidence and any British English translation is clearly labelled.</w:t>
            </w:r>
          </w:p>
        </w:tc>
      </w:tr>
      <w:tr>
        <w:trPr>
          <w:cantSplit/>
          <w:cantSplit/>
          <w:cantSplit/>
          <w:cantSplit/>
        </w:trPr>
        <w:tc>
          <w:tcPr>
            <w:tcW w:type="dxa" w:w="1000"/>
            <w:vAlign w:val="top"/>
            <w:tcMar>
              <w:top w:w="80" w:type="dxa"/>
              <w:start w:w="120" w:type="dxa"/>
              <w:bottom w:w="80" w:type="dxa"/>
              <w:end w:w="120" w:type="dxa"/>
            </w:tcMar>
          </w:tcPr>
          <w:p>
            <w:pPr/>
            <w:r>
              <w:rPr>
                <w:sz w:val="16"/>
              </w:rPr>
              <w:t>AC-24</w:t>
            </w:r>
          </w:p>
        </w:tc>
        <w:tc>
          <w:tcPr>
            <w:tcW w:type="dxa" w:w="8360"/>
            <w:vAlign w:val="top"/>
            <w:tcMar>
              <w:top w:w="80" w:type="dxa"/>
              <w:start w:w="120" w:type="dxa"/>
              <w:bottom w:w="80" w:type="dxa"/>
              <w:end w:w="120" w:type="dxa"/>
            </w:tcMar>
          </w:tcPr>
          <w:p>
            <w:pPr/>
            <w:r>
              <w:rPr>
                <w:sz w:val="16"/>
              </w:rPr>
              <w:t>Locale changes alter presentation of language, dates, decimal separators and currency conventions without changing underlying commercial values or evidence lineage.</w:t>
            </w:r>
          </w:p>
        </w:tc>
      </w:tr>
    </w:tbl>
    <w:p>
      <w:pPr>
        <w:spacing w:after="0"/>
      </w:pPr>
    </w:p>
    <w:p>
      <w:pPr>
        <w:pStyle w:val="Heading1"/>
      </w:pPr>
      <w:r>
        <w:t>18. Risks, Assumptions and Open Decisions</w:t>
      </w:r>
    </w:p>
    <w:tbl>
      <w:tblPr>
        <w:tblStyle w:val="TableGrid"/>
        <w:tblW w:type="dxa" w:w="9360"/>
        <w:jc w:val="left"/>
        <w:tblLayout w:type="fixed"/>
        <w:tblLook w:firstColumn="1" w:firstRow="1" w:lastColumn="0" w:lastRow="0" w:noHBand="0" w:noVBand="1" w:val="04A0"/>
        <w:tblInd w:w="120" w:type="dxa"/>
      </w:tblPr>
      <w:tblGrid>
        <w:gridCol w:w="1200"/>
        <w:gridCol w:w="3400"/>
        <w:gridCol w:w="4760"/>
      </w:tblGrid>
      <w:tr>
        <w:trPr>
          <w:tblHeader w:val="true"/>
        </w:trPr>
        <w:tc>
          <w:tcPr>
            <w:tcW w:type="dxa" w:w="1200"/>
            <w:shd w:fill="E8EEF5"/>
            <w:vAlign w:val="center"/>
            <w:tcMar>
              <w:top w:w="80" w:type="dxa"/>
              <w:start w:w="120" w:type="dxa"/>
              <w:bottom w:w="80" w:type="dxa"/>
              <w:end w:w="120" w:type="dxa"/>
            </w:tcMar>
          </w:tcPr>
          <w:p>
            <w:r>
              <w:rPr>
                <w:b/>
                <w:color w:val="17365D"/>
                <w:sz w:val="16"/>
              </w:rPr>
              <w:t>Type</w:t>
            </w:r>
          </w:p>
        </w:tc>
        <w:tc>
          <w:tcPr>
            <w:tcW w:type="dxa" w:w="3400"/>
            <w:shd w:fill="E8EEF5"/>
            <w:vAlign w:val="center"/>
            <w:tcMar>
              <w:top w:w="80" w:type="dxa"/>
              <w:start w:w="120" w:type="dxa"/>
              <w:bottom w:w="80" w:type="dxa"/>
              <w:end w:w="120" w:type="dxa"/>
            </w:tcMar>
          </w:tcPr>
          <w:p>
            <w:r>
              <w:rPr>
                <w:b/>
                <w:color w:val="17365D"/>
                <w:sz w:val="16"/>
              </w:rPr>
              <w:t>Item</w:t>
            </w:r>
          </w:p>
        </w:tc>
        <w:tc>
          <w:tcPr>
            <w:tcW w:type="dxa" w:w="4760"/>
            <w:shd w:fill="E8EEF5"/>
            <w:vAlign w:val="center"/>
            <w:tcMar>
              <w:top w:w="80" w:type="dxa"/>
              <w:start w:w="120" w:type="dxa"/>
              <w:bottom w:w="80" w:type="dxa"/>
              <w:end w:w="120" w:type="dxa"/>
            </w:tcMar>
          </w:tcPr>
          <w:p>
            <w:r>
              <w:rPr>
                <w:b/>
                <w:color w:val="17365D"/>
                <w:sz w:val="16"/>
              </w:rPr>
              <w:t>Treatment / decision needed</w:t>
            </w:r>
          </w:p>
        </w:tc>
      </w:tr>
      <w:tr>
        <w:trPr>
          <w:cantSplit/>
        </w:trPr>
        <w:tc>
          <w:tcPr>
            <w:tcW w:type="dxa" w:w="1200"/>
            <w:vAlign w:val="top"/>
            <w:tcMar>
              <w:top w:w="80" w:type="dxa"/>
              <w:start w:w="120" w:type="dxa"/>
              <w:bottom w:w="80" w:type="dxa"/>
              <w:end w:w="120" w:type="dxa"/>
            </w:tcMar>
          </w:tcPr>
          <w:p>
            <w:pPr>
              <w:spacing w:after="0"/>
            </w:pPr>
            <w:r>
              <w:rPr>
                <w:sz w:val="16"/>
              </w:rPr>
              <w:t>Assumption</w:t>
            </w:r>
          </w:p>
        </w:tc>
        <w:tc>
          <w:tcPr>
            <w:tcW w:type="dxa" w:w="3400"/>
            <w:vAlign w:val="top"/>
            <w:tcMar>
              <w:top w:w="80" w:type="dxa"/>
              <w:start w:w="120" w:type="dxa"/>
              <w:bottom w:w="80" w:type="dxa"/>
              <w:end w:w="120" w:type="dxa"/>
            </w:tcMar>
          </w:tcPr>
          <w:p>
            <w:pPr>
              <w:spacing w:after="0"/>
            </w:pPr>
            <w:r>
              <w:rPr>
                <w:sz w:val="16"/>
              </w:rPr>
              <w:t>Road freight is a sufficiently representative first category.</w:t>
            </w:r>
          </w:p>
        </w:tc>
        <w:tc>
          <w:tcPr>
            <w:tcW w:type="dxa" w:w="4760"/>
            <w:vAlign w:val="top"/>
            <w:tcMar>
              <w:top w:w="80" w:type="dxa"/>
              <w:start w:w="120" w:type="dxa"/>
              <w:bottom w:w="80" w:type="dxa"/>
              <w:end w:w="120" w:type="dxa"/>
            </w:tcMar>
          </w:tcPr>
          <w:p>
            <w:pPr>
              <w:spacing w:after="0"/>
            </w:pPr>
            <w:r>
              <w:rPr>
                <w:sz w:val="16"/>
              </w:rPr>
              <w:t>Validate with the target logistics/procurement owner before tailoring the final prototype.</w:t>
            </w:r>
          </w:p>
        </w:tc>
      </w:tr>
      <w:tr>
        <w:trPr>
          <w:cantSplit/>
        </w:trPr>
        <w:tc>
          <w:tcPr>
            <w:tcW w:type="dxa" w:w="1200"/>
            <w:vAlign w:val="top"/>
            <w:tcMar>
              <w:top w:w="80" w:type="dxa"/>
              <w:start w:w="120" w:type="dxa"/>
              <w:bottom w:w="80" w:type="dxa"/>
              <w:end w:w="120" w:type="dxa"/>
            </w:tcMar>
          </w:tcPr>
          <w:p>
            <w:pPr>
              <w:spacing w:after="0"/>
            </w:pPr>
            <w:r>
              <w:rPr>
                <w:sz w:val="16"/>
              </w:rPr>
              <w:t>Assumption</w:t>
            </w:r>
          </w:p>
        </w:tc>
        <w:tc>
          <w:tcPr>
            <w:tcW w:type="dxa" w:w="3400"/>
            <w:vAlign w:val="top"/>
            <w:tcMar>
              <w:top w:w="80" w:type="dxa"/>
              <w:start w:w="120" w:type="dxa"/>
              <w:bottom w:w="80" w:type="dxa"/>
              <w:end w:w="120" w:type="dxa"/>
            </w:tcMar>
          </w:tcPr>
          <w:p>
            <w:pPr>
              <w:spacing w:after="0"/>
            </w:pPr>
            <w:r>
              <w:rPr>
                <w:sz w:val="16"/>
              </w:rPr>
              <w:t>Synthetic data can demonstrate the workflow before customer data is available.</w:t>
            </w:r>
          </w:p>
        </w:tc>
        <w:tc>
          <w:tcPr>
            <w:tcW w:type="dxa" w:w="4760"/>
            <w:vAlign w:val="top"/>
            <w:tcMar>
              <w:top w:w="80" w:type="dxa"/>
              <w:start w:w="120" w:type="dxa"/>
              <w:bottom w:w="80" w:type="dxa"/>
              <w:end w:w="120" w:type="dxa"/>
            </w:tcMar>
          </w:tcPr>
          <w:p>
            <w:pPr>
              <w:spacing w:after="0"/>
            </w:pPr>
            <w:r>
              <w:rPr>
                <w:sz w:val="16"/>
              </w:rPr>
              <w:t>Label all synthetic content and avoid customer-specific claims.</w:t>
            </w:r>
          </w:p>
        </w:tc>
      </w:tr>
      <w:tr>
        <w:trPr>
          <w:cantSplit/>
        </w:trPr>
        <w:tc>
          <w:tcPr>
            <w:tcW w:type="dxa" w:w="1200"/>
            <w:vAlign w:val="top"/>
            <w:tcMar>
              <w:top w:w="80" w:type="dxa"/>
              <w:start w:w="120" w:type="dxa"/>
              <w:bottom w:w="80" w:type="dxa"/>
              <w:end w:w="120" w:type="dxa"/>
            </w:tcMar>
          </w:tcPr>
          <w:p>
            <w:pPr>
              <w:spacing w:after="0"/>
            </w:pPr>
            <w:r>
              <w:rPr>
                <w:sz w:val="16"/>
              </w:rPr>
              <w:t>Open decision</w:t>
            </w:r>
          </w:p>
        </w:tc>
        <w:tc>
          <w:tcPr>
            <w:tcW w:type="dxa" w:w="3400"/>
            <w:vAlign w:val="top"/>
            <w:tcMar>
              <w:top w:w="80" w:type="dxa"/>
              <w:start w:w="120" w:type="dxa"/>
              <w:bottom w:w="80" w:type="dxa"/>
              <w:end w:w="120" w:type="dxa"/>
            </w:tcMar>
          </w:tcPr>
          <w:p>
            <w:pPr>
              <w:spacing w:after="0"/>
            </w:pPr>
            <w:r>
              <w:rPr>
                <w:sz w:val="16"/>
              </w:rPr>
              <w:t>Target logistics service, geography, lanes and tender structure.</w:t>
            </w:r>
          </w:p>
        </w:tc>
        <w:tc>
          <w:tcPr>
            <w:tcW w:type="dxa" w:w="4760"/>
            <w:vAlign w:val="top"/>
            <w:tcMar>
              <w:top w:w="80" w:type="dxa"/>
              <w:start w:w="120" w:type="dxa"/>
              <w:bottom w:w="80" w:type="dxa"/>
              <w:end w:w="120" w:type="dxa"/>
            </w:tcMar>
          </w:tcPr>
          <w:p>
            <w:pPr>
              <w:spacing w:after="0"/>
            </w:pPr>
            <w:r>
              <w:rPr>
                <w:sz w:val="16"/>
              </w:rPr>
              <w:t>Confirm in discovery; keep current scenario configurable.</w:t>
            </w:r>
          </w:p>
        </w:tc>
      </w:tr>
      <w:tr>
        <w:trPr>
          <w:cantSplit/>
        </w:trPr>
        <w:tc>
          <w:tcPr>
            <w:tcW w:type="dxa" w:w="1200"/>
            <w:vAlign w:val="top"/>
            <w:tcMar>
              <w:top w:w="80" w:type="dxa"/>
              <w:start w:w="120" w:type="dxa"/>
              <w:bottom w:w="80" w:type="dxa"/>
              <w:end w:w="120" w:type="dxa"/>
            </w:tcMar>
          </w:tcPr>
          <w:p>
            <w:pPr>
              <w:spacing w:after="0"/>
            </w:pPr>
            <w:r>
              <w:rPr>
                <w:sz w:val="16"/>
              </w:rPr>
              <w:t>Open decision</w:t>
            </w:r>
          </w:p>
        </w:tc>
        <w:tc>
          <w:tcPr>
            <w:tcW w:type="dxa" w:w="3400"/>
            <w:vAlign w:val="top"/>
            <w:tcMar>
              <w:top w:w="80" w:type="dxa"/>
              <w:start w:w="120" w:type="dxa"/>
              <w:bottom w:w="80" w:type="dxa"/>
              <w:end w:w="120" w:type="dxa"/>
            </w:tcMar>
          </w:tcPr>
          <w:p>
            <w:pPr>
              <w:spacing w:after="0"/>
            </w:pPr>
            <w:r>
              <w:rPr>
                <w:sz w:val="16"/>
              </w:rPr>
              <w:t>Approved performance metrics, weights, thresholds and minimum evidence.</w:t>
            </w:r>
          </w:p>
        </w:tc>
        <w:tc>
          <w:tcPr>
            <w:tcW w:type="dxa" w:w="4760"/>
            <w:vAlign w:val="top"/>
            <w:tcMar>
              <w:top w:w="80" w:type="dxa"/>
              <w:start w:w="120" w:type="dxa"/>
              <w:bottom w:w="80" w:type="dxa"/>
              <w:end w:w="120" w:type="dxa"/>
            </w:tcMar>
          </w:tcPr>
          <w:p>
            <w:pPr>
              <w:spacing w:after="0"/>
            </w:pPr>
            <w:r>
              <w:rPr>
                <w:sz w:val="16"/>
              </w:rPr>
              <w:t>Use illustrative configuration only until business owners approve.</w:t>
            </w:r>
          </w:p>
        </w:tc>
      </w:tr>
      <w:tr>
        <w:trPr>
          <w:cantSplit/>
        </w:trPr>
        <w:tc>
          <w:tcPr>
            <w:tcW w:type="dxa" w:w="1200"/>
            <w:vAlign w:val="top"/>
            <w:tcMar>
              <w:top w:w="80" w:type="dxa"/>
              <w:start w:w="120" w:type="dxa"/>
              <w:bottom w:w="80" w:type="dxa"/>
              <w:end w:w="120" w:type="dxa"/>
            </w:tcMar>
          </w:tcPr>
          <w:p>
            <w:pPr>
              <w:spacing w:after="0"/>
            </w:pPr>
            <w:r>
              <w:rPr>
                <w:sz w:val="16"/>
              </w:rPr>
              <w:t>Open decision</w:t>
            </w:r>
          </w:p>
        </w:tc>
        <w:tc>
          <w:tcPr>
            <w:tcW w:type="dxa" w:w="3400"/>
            <w:vAlign w:val="top"/>
            <w:tcMar>
              <w:top w:w="80" w:type="dxa"/>
              <w:start w:w="120" w:type="dxa"/>
              <w:bottom w:w="80" w:type="dxa"/>
              <w:end w:w="120" w:type="dxa"/>
            </w:tcMar>
          </w:tcPr>
          <w:p>
            <w:pPr>
              <w:spacing w:after="0"/>
            </w:pPr>
            <w:r>
              <w:rPr>
                <w:sz w:val="16"/>
              </w:rPr>
              <w:t>Role of incumbent performance in award scoring.</w:t>
            </w:r>
          </w:p>
        </w:tc>
        <w:tc>
          <w:tcPr>
            <w:tcW w:type="dxa" w:w="4760"/>
            <w:vAlign w:val="top"/>
            <w:tcMar>
              <w:top w:w="80" w:type="dxa"/>
              <w:start w:w="120" w:type="dxa"/>
              <w:bottom w:w="80" w:type="dxa"/>
              <w:end w:w="120" w:type="dxa"/>
            </w:tcMar>
          </w:tcPr>
          <w:p>
            <w:pPr>
              <w:spacing w:after="0"/>
            </w:pPr>
            <w:r>
              <w:rPr>
                <w:sz w:val="16"/>
              </w:rPr>
              <w:t>Agree whether it is a weighted criterion, risk overlay or separate decision evidence.</w:t>
            </w:r>
          </w:p>
        </w:tc>
      </w:tr>
      <w:tr>
        <w:trPr>
          <w:cantSplit/>
        </w:trPr>
        <w:tc>
          <w:tcPr>
            <w:tcW w:type="dxa" w:w="1200"/>
            <w:vAlign w:val="top"/>
            <w:tcMar>
              <w:top w:w="80" w:type="dxa"/>
              <w:start w:w="120" w:type="dxa"/>
              <w:bottom w:w="80" w:type="dxa"/>
              <w:end w:w="120" w:type="dxa"/>
            </w:tcMar>
          </w:tcPr>
          <w:p>
            <w:pPr>
              <w:spacing w:after="0"/>
            </w:pPr>
            <w:r>
              <w:rPr>
                <w:sz w:val="16"/>
              </w:rPr>
              <w:t>Risk</w:t>
            </w:r>
          </w:p>
        </w:tc>
        <w:tc>
          <w:tcPr>
            <w:tcW w:type="dxa" w:w="3400"/>
            <w:vAlign w:val="top"/>
            <w:tcMar>
              <w:top w:w="80" w:type="dxa"/>
              <w:start w:w="120" w:type="dxa"/>
              <w:bottom w:w="80" w:type="dxa"/>
              <w:end w:w="120" w:type="dxa"/>
            </w:tcMar>
          </w:tcPr>
          <w:p>
            <w:pPr>
              <w:spacing w:after="0"/>
            </w:pPr>
            <w:r>
              <w:rPr>
                <w:sz w:val="16"/>
              </w:rPr>
              <w:t>Poor source quality creates misleading comparisons or scores.</w:t>
            </w:r>
          </w:p>
        </w:tc>
        <w:tc>
          <w:tcPr>
            <w:tcW w:type="dxa" w:w="4760"/>
            <w:vAlign w:val="top"/>
            <w:tcMar>
              <w:top w:w="80" w:type="dxa"/>
              <w:start w:w="120" w:type="dxa"/>
              <w:bottom w:w="80" w:type="dxa"/>
              <w:end w:w="120" w:type="dxa"/>
            </w:tcMar>
          </w:tcPr>
          <w:p>
            <w:pPr>
              <w:spacing w:after="0"/>
            </w:pPr>
            <w:r>
              <w:rPr>
                <w:sz w:val="16"/>
              </w:rPr>
              <w:t>Show freshness/completeness, block unsupported calculations and preserve lineage.</w:t>
            </w:r>
          </w:p>
        </w:tc>
      </w:tr>
      <w:tr>
        <w:trPr>
          <w:cantSplit/>
        </w:trPr>
        <w:tc>
          <w:tcPr>
            <w:tcW w:type="dxa" w:w="1200"/>
            <w:vAlign w:val="top"/>
            <w:tcMar>
              <w:top w:w="80" w:type="dxa"/>
              <w:start w:w="120" w:type="dxa"/>
              <w:bottom w:w="80" w:type="dxa"/>
              <w:end w:w="120" w:type="dxa"/>
            </w:tcMar>
          </w:tcPr>
          <w:p>
            <w:pPr>
              <w:spacing w:after="0"/>
            </w:pPr>
            <w:r>
              <w:rPr>
                <w:sz w:val="16"/>
              </w:rPr>
              <w:t>Risk</w:t>
            </w:r>
          </w:p>
        </w:tc>
        <w:tc>
          <w:tcPr>
            <w:tcW w:type="dxa" w:w="3400"/>
            <w:vAlign w:val="top"/>
            <w:tcMar>
              <w:top w:w="80" w:type="dxa"/>
              <w:start w:w="120" w:type="dxa"/>
              <w:bottom w:w="80" w:type="dxa"/>
              <w:end w:w="120" w:type="dxa"/>
            </w:tcMar>
          </w:tcPr>
          <w:p>
            <w:pPr>
              <w:spacing w:after="0"/>
            </w:pPr>
            <w:r>
              <w:rPr>
                <w:sz w:val="16"/>
              </w:rPr>
              <w:t>Prototype expands into a full SRM/TMS/CLM replacement.</w:t>
            </w:r>
          </w:p>
        </w:tc>
        <w:tc>
          <w:tcPr>
            <w:tcW w:type="dxa" w:w="4760"/>
            <w:vAlign w:val="top"/>
            <w:tcMar>
              <w:top w:w="80" w:type="dxa"/>
              <w:start w:w="120" w:type="dxa"/>
              <w:bottom w:w="80" w:type="dxa"/>
              <w:end w:w="120" w:type="dxa"/>
            </w:tcMar>
          </w:tcPr>
          <w:p>
            <w:pPr>
              <w:spacing w:after="0"/>
            </w:pPr>
            <w:r>
              <w:rPr>
                <w:sz w:val="16"/>
              </w:rPr>
              <w:t>Maintain explicit limited scope and emphasize intelligence/action workflow.</w:t>
            </w:r>
          </w:p>
        </w:tc>
      </w:tr>
      <w:tr>
        <w:trPr>
          <w:cantSplit/>
        </w:trPr>
        <w:tc>
          <w:tcPr>
            <w:tcW w:type="dxa" w:w="1200"/>
            <w:vAlign w:val="top"/>
            <w:tcMar>
              <w:top w:w="80" w:type="dxa"/>
              <w:start w:w="120" w:type="dxa"/>
              <w:bottom w:w="80" w:type="dxa"/>
              <w:end w:w="120" w:type="dxa"/>
            </w:tcMar>
          </w:tcPr>
          <w:p>
            <w:pPr>
              <w:spacing w:after="0"/>
            </w:pPr>
            <w:r>
              <w:rPr>
                <w:sz w:val="16"/>
              </w:rPr>
              <w:t>Risk</w:t>
            </w:r>
          </w:p>
        </w:tc>
        <w:tc>
          <w:tcPr>
            <w:tcW w:type="dxa" w:w="3400"/>
            <w:vAlign w:val="top"/>
            <w:tcMar>
              <w:top w:w="80" w:type="dxa"/>
              <w:start w:w="120" w:type="dxa"/>
              <w:bottom w:w="80" w:type="dxa"/>
              <w:end w:w="120" w:type="dxa"/>
            </w:tcMar>
          </w:tcPr>
          <w:p>
            <w:pPr>
              <w:spacing w:after="0"/>
            </w:pPr>
            <w:r>
              <w:rPr>
                <w:sz w:val="16"/>
              </w:rPr>
              <w:t>Users perceive agent output as an autonomous decision.</w:t>
            </w:r>
          </w:p>
        </w:tc>
        <w:tc>
          <w:tcPr>
            <w:tcW w:type="dxa" w:w="4760"/>
            <w:vAlign w:val="top"/>
            <w:tcMar>
              <w:top w:w="80" w:type="dxa"/>
              <w:start w:w="120" w:type="dxa"/>
              <w:bottom w:w="80" w:type="dxa"/>
              <w:end w:w="120" w:type="dxa"/>
            </w:tcMar>
          </w:tcPr>
          <w:p>
            <w:pPr>
              <w:spacing w:after="0"/>
            </w:pPr>
            <w:r>
              <w:rPr>
                <w:sz w:val="16"/>
              </w:rPr>
              <w:t>Require approvals, explain recommendations and label generated content.</w:t>
            </w:r>
          </w:p>
        </w:tc>
      </w:tr>
      <w:tr>
        <w:trPr>
          <w:cantSplit/>
        </w:trPr>
        <w:tc>
          <w:tcPr>
            <w:tcW w:type="dxa" w:w="1200"/>
            <w:vAlign w:val="top"/>
            <w:tcMar>
              <w:top w:w="80" w:type="dxa"/>
              <w:start w:w="120" w:type="dxa"/>
              <w:bottom w:w="80" w:type="dxa"/>
              <w:end w:w="120" w:type="dxa"/>
            </w:tcMar>
          </w:tcPr>
          <w:p>
            <w:pPr>
              <w:spacing w:after="0"/>
            </w:pPr>
            <w:r>
              <w:rPr>
                <w:sz w:val="16"/>
              </w:rPr>
              <w:t>Risk</w:t>
            </w:r>
          </w:p>
        </w:tc>
        <w:tc>
          <w:tcPr>
            <w:tcW w:type="dxa" w:w="3400"/>
            <w:vAlign w:val="top"/>
            <w:tcMar>
              <w:top w:w="80" w:type="dxa"/>
              <w:start w:w="120" w:type="dxa"/>
              <w:bottom w:w="80" w:type="dxa"/>
              <w:end w:w="120" w:type="dxa"/>
            </w:tcMar>
          </w:tcPr>
          <w:p>
            <w:pPr>
              <w:spacing w:after="0"/>
            </w:pPr>
            <w:r>
              <w:rPr>
                <w:sz w:val="16"/>
              </w:rPr>
              <w:t>Qualitative feedback introduces bias.</w:t>
            </w:r>
          </w:p>
        </w:tc>
        <w:tc>
          <w:tcPr>
            <w:tcW w:type="dxa" w:w="4760"/>
            <w:vAlign w:val="top"/>
            <w:tcMar>
              <w:top w:w="80" w:type="dxa"/>
              <w:start w:w="120" w:type="dxa"/>
              <w:bottom w:w="80" w:type="dxa"/>
              <w:end w:w="120" w:type="dxa"/>
            </w:tcMar>
          </w:tcPr>
          <w:p>
            <w:pPr>
              <w:spacing w:after="0"/>
            </w:pPr>
            <w:r>
              <w:rPr>
                <w:sz w:val="16"/>
              </w:rPr>
              <w:t>Use structured scales, named authors, dates, commentary and limited weight.</w:t>
            </w:r>
          </w:p>
        </w:tc>
      </w:tr>
      <w:tr>
        <w:trPr>
          <w:cantSplit/>
        </w:trPr>
        <w:tc>
          <w:tcPr>
            <w:tcW w:type="dxa" w:w="1200"/>
            <w:vAlign w:val="top"/>
            <w:tcMar>
              <w:top w:w="80" w:type="dxa"/>
              <w:start w:w="120" w:type="dxa"/>
              <w:bottom w:w="80" w:type="dxa"/>
              <w:end w:w="120" w:type="dxa"/>
            </w:tcMar>
          </w:tcPr>
          <w:p>
            <w:pPr>
              <w:spacing w:after="0"/>
            </w:pPr>
            <w:r>
              <w:rPr>
                <w:sz w:val="16"/>
              </w:rPr>
              <w:t>Risk</w:t>
            </w:r>
          </w:p>
        </w:tc>
        <w:tc>
          <w:tcPr>
            <w:tcW w:type="dxa" w:w="3400"/>
            <w:vAlign w:val="top"/>
            <w:tcMar>
              <w:top w:w="80" w:type="dxa"/>
              <w:start w:w="120" w:type="dxa"/>
              <w:bottom w:w="80" w:type="dxa"/>
              <w:end w:w="120" w:type="dxa"/>
            </w:tcMar>
          </w:tcPr>
          <w:p>
            <w:pPr>
              <w:spacing w:after="0"/>
            </w:pPr>
            <w:r>
              <w:rPr>
                <w:sz w:val="16"/>
              </w:rPr>
              <w:t>Mailbox access captures irrelevant, personal or sensitive content.</w:t>
            </w:r>
          </w:p>
        </w:tc>
        <w:tc>
          <w:tcPr>
            <w:tcW w:type="dxa" w:w="4760"/>
            <w:vAlign w:val="top"/>
            <w:tcMar>
              <w:top w:w="80" w:type="dxa"/>
              <w:start w:w="120" w:type="dxa"/>
              <w:bottom w:w="80" w:type="dxa"/>
              <w:end w:w="120" w:type="dxa"/>
            </w:tcMar>
          </w:tcPr>
          <w:p>
            <w:pPr>
              <w:spacing w:after="0"/>
            </w:pPr>
            <w:r>
              <w:rPr>
                <w:sz w:val="16"/>
              </w:rPr>
              <w:t>Restrict authorised scope, apply layered filtering, avoid copying rejected content and route uncertainty to review.</w:t>
            </w:r>
          </w:p>
        </w:tc>
      </w:tr>
      <w:tr>
        <w:trPr>
          <w:cantSplit/>
        </w:trPr>
        <w:tc>
          <w:tcPr>
            <w:tcW w:type="dxa" w:w="1200"/>
            <w:vAlign w:val="top"/>
            <w:tcMar>
              <w:top w:w="80" w:type="dxa"/>
              <w:start w:w="120" w:type="dxa"/>
              <w:bottom w:w="80" w:type="dxa"/>
              <w:end w:w="120" w:type="dxa"/>
            </w:tcMar>
          </w:tcPr>
          <w:p>
            <w:pPr>
              <w:spacing w:after="0"/>
            </w:pPr>
            <w:r>
              <w:rPr>
                <w:sz w:val="16"/>
              </w:rPr>
              <w:t>Risk</w:t>
            </w:r>
          </w:p>
        </w:tc>
        <w:tc>
          <w:tcPr>
            <w:tcW w:type="dxa" w:w="3400"/>
            <w:vAlign w:val="top"/>
            <w:tcMar>
              <w:top w:w="80" w:type="dxa"/>
              <w:start w:w="120" w:type="dxa"/>
              <w:bottom w:w="80" w:type="dxa"/>
              <w:end w:w="120" w:type="dxa"/>
            </w:tcMar>
          </w:tcPr>
          <w:p>
            <w:pPr>
              <w:spacing w:after="0"/>
            </w:pPr>
            <w:r>
              <w:rPr>
                <w:sz w:val="16"/>
              </w:rPr>
              <w:t>Incorrect recipient, attachment or cross-bidder disclosure in an outgoing email.</w:t>
            </w:r>
          </w:p>
        </w:tc>
        <w:tc>
          <w:tcPr>
            <w:tcW w:type="dxa" w:w="4760"/>
            <w:vAlign w:val="top"/>
            <w:tcMar>
              <w:top w:w="80" w:type="dxa"/>
              <w:start w:w="120" w:type="dxa"/>
              <w:bottom w:w="80" w:type="dxa"/>
              <w:end w:w="120" w:type="dxa"/>
            </w:tcMar>
          </w:tcPr>
          <w:p>
            <w:pPr>
              <w:spacing w:after="0"/>
            </w:pPr>
            <w:r>
              <w:rPr>
                <w:sz w:val="16"/>
              </w:rPr>
              <w:t>Validate recipients and approved versions, scan for confidentiality conflicts and require human send approval.</w:t>
            </w:r>
          </w:p>
        </w:tc>
      </w:tr>
      <w:tr>
        <w:trPr>
          <w:cantSplit/>
        </w:trPr>
        <w:tc>
          <w:tcPr>
            <w:tcW w:type="dxa" w:w="1200"/>
            <w:vAlign w:val="top"/>
            <w:tcMar>
              <w:top w:w="80" w:type="dxa"/>
              <w:start w:w="120" w:type="dxa"/>
              <w:bottom w:w="80" w:type="dxa"/>
              <w:end w:w="120" w:type="dxa"/>
            </w:tcMar>
          </w:tcPr>
          <w:p>
            <w:pPr>
              <w:spacing w:after="0"/>
            </w:pPr>
            <w:r>
              <w:rPr>
                <w:sz w:val="16"/>
              </w:rPr>
              <w:t>Dependency</w:t>
            </w:r>
          </w:p>
        </w:tc>
        <w:tc>
          <w:tcPr>
            <w:tcW w:type="dxa" w:w="3400"/>
            <w:vAlign w:val="top"/>
            <w:tcMar>
              <w:top w:w="80" w:type="dxa"/>
              <w:start w:w="120" w:type="dxa"/>
              <w:bottom w:w="80" w:type="dxa"/>
              <w:end w:w="120" w:type="dxa"/>
            </w:tcMar>
          </w:tcPr>
          <w:p>
            <w:pPr>
              <w:spacing w:after="0"/>
            </w:pPr>
            <w:r>
              <w:rPr>
                <w:sz w:val="16"/>
              </w:rPr>
              <w:t>Representative contract, bids and performance data.</w:t>
            </w:r>
          </w:p>
        </w:tc>
        <w:tc>
          <w:tcPr>
            <w:tcW w:type="dxa" w:w="4760"/>
            <w:vAlign w:val="top"/>
            <w:tcMar>
              <w:top w:w="80" w:type="dxa"/>
              <w:start w:w="120" w:type="dxa"/>
              <w:bottom w:w="80" w:type="dxa"/>
              <w:end w:w="120" w:type="dxa"/>
            </w:tcMar>
          </w:tcPr>
          <w:p>
            <w:pPr>
              <w:spacing w:after="0"/>
            </w:pPr>
            <w:r>
              <w:rPr>
                <w:sz w:val="16"/>
              </w:rPr>
              <w:t>Create controlled synthetic dataset; replace selectively with approved customer data later.</w:t>
            </w:r>
          </w:p>
        </w:tc>
      </w:tr>
      <w:tr>
        <w:trPr>
          <w:cantSplit/>
          <w:cantSplit/>
        </w:trPr>
        <w:tc>
          <w:tcPr>
            <w:tcW w:type="dxa" w:w="1200"/>
            <w:vAlign w:val="top"/>
            <w:tcMar>
              <w:top w:w="80" w:type="dxa"/>
              <w:start w:w="120" w:type="dxa"/>
              <w:bottom w:w="80" w:type="dxa"/>
              <w:end w:w="120" w:type="dxa"/>
            </w:tcMar>
          </w:tcPr>
          <w:p>
            <w:pPr/>
            <w:r>
              <w:rPr>
                <w:sz w:val="16"/>
              </w:rPr>
              <w:t>Risk</w:t>
            </w:r>
          </w:p>
        </w:tc>
        <w:tc>
          <w:tcPr>
            <w:tcW w:type="dxa" w:w="3400"/>
            <w:vAlign w:val="top"/>
            <w:tcMar>
              <w:top w:w="80" w:type="dxa"/>
              <w:start w:w="120" w:type="dxa"/>
              <w:bottom w:w="80" w:type="dxa"/>
              <w:end w:w="120" w:type="dxa"/>
            </w:tcMar>
          </w:tcPr>
          <w:p>
            <w:pPr/>
            <w:r>
              <w:rPr>
                <w:sz w:val="16"/>
              </w:rPr>
              <w:t>Prototype appears to be a static presentation rather than a working decision flow.</w:t>
            </w:r>
          </w:p>
        </w:tc>
        <w:tc>
          <w:tcPr>
            <w:tcW w:type="dxa" w:w="4760"/>
            <w:vAlign w:val="top"/>
            <w:tcMar>
              <w:top w:w="80" w:type="dxa"/>
              <w:start w:w="120" w:type="dxa"/>
              <w:bottom w:w="80" w:type="dxa"/>
              <w:end w:w="120" w:type="dxa"/>
            </w:tcMar>
          </w:tcPr>
          <w:p>
            <w:pPr/>
            <w:r>
              <w:rPr>
                <w:sz w:val="16"/>
              </w:rPr>
              <w:t>Begin before the outcome is known; require user gates; persist decisions; release evidence in stages; show visible downstream consequences.</w:t>
            </w:r>
          </w:p>
        </w:tc>
      </w:tr>
      <w:tr>
        <w:trPr>
          <w:cantSplit/>
          <w:cantSplit/>
          <w:cantSplit/>
        </w:trPr>
        <w:tc>
          <w:tcPr>
            <w:tcW w:type="dxa" w:w="1200"/>
            <w:vAlign w:val="top"/>
            <w:tcMar>
              <w:top w:w="80" w:type="dxa"/>
              <w:start w:w="120" w:type="dxa"/>
              <w:bottom w:w="80" w:type="dxa"/>
              <w:end w:w="120" w:type="dxa"/>
            </w:tcMar>
          </w:tcPr>
          <w:p>
            <w:pPr/>
            <w:r>
              <w:rPr>
                <w:sz w:val="16"/>
              </w:rPr>
              <w:t>Open decision</w:t>
            </w:r>
          </w:p>
        </w:tc>
        <w:tc>
          <w:tcPr>
            <w:tcW w:type="dxa" w:w="3400"/>
            <w:vAlign w:val="top"/>
            <w:tcMar>
              <w:top w:w="80" w:type="dxa"/>
              <w:start w:w="120" w:type="dxa"/>
              <w:bottom w:w="80" w:type="dxa"/>
              <w:end w:w="120" w:type="dxa"/>
            </w:tcMar>
          </w:tcPr>
          <w:p>
            <w:pPr/>
            <w:r>
              <w:rPr>
                <w:sz w:val="16"/>
              </w:rPr>
              <w:t>Exact scenario stages, release conditions, checkpoints and reset behaviour.</w:t>
            </w:r>
          </w:p>
        </w:tc>
        <w:tc>
          <w:tcPr>
            <w:tcW w:type="dxa" w:w="4760"/>
            <w:vAlign w:val="top"/>
            <w:tcMar>
              <w:top w:w="80" w:type="dxa"/>
              <w:start w:w="120" w:type="dxa"/>
              <w:bottom w:w="80" w:type="dxa"/>
              <w:end w:w="120" w:type="dxa"/>
            </w:tcMar>
          </w:tcPr>
          <w:p>
            <w:pPr/>
            <w:r>
              <w:rPr>
                <w:sz w:val="16"/>
              </w:rPr>
              <w:t>Define in the Synthetic Data and Source Document Specification and align to the approved demonstration script.</w:t>
            </w:r>
          </w:p>
        </w:tc>
      </w:tr>
      <w:tr>
        <w:trPr>
          <w:cantSplit/>
          <w:cantSplit/>
          <w:cantSplit/>
          <w:cantSplit/>
        </w:trPr>
        <w:tc>
          <w:tcPr>
            <w:tcW w:type="dxa" w:w="1200"/>
            <w:vAlign w:val="top"/>
            <w:tcMar>
              <w:top w:w="80" w:type="dxa"/>
              <w:start w:w="120" w:type="dxa"/>
              <w:bottom w:w="80" w:type="dxa"/>
              <w:end w:w="120" w:type="dxa"/>
            </w:tcMar>
          </w:tcPr>
          <w:p>
            <w:pPr/>
            <w:r>
              <w:rPr>
                <w:sz w:val="16"/>
              </w:rPr>
              <w:t>Dependency</w:t>
            </w:r>
          </w:p>
        </w:tc>
        <w:tc>
          <w:tcPr>
            <w:tcW w:type="dxa" w:w="3400"/>
            <w:vAlign w:val="top"/>
            <w:tcMar>
              <w:top w:w="80" w:type="dxa"/>
              <w:start w:w="120" w:type="dxa"/>
              <w:bottom w:w="80" w:type="dxa"/>
              <w:end w:w="120" w:type="dxa"/>
            </w:tcMar>
          </w:tcPr>
          <w:p>
            <w:pPr/>
            <w:r>
              <w:rPr>
                <w:sz w:val="16"/>
              </w:rPr>
              <w:t>A controlled scenario package and state-transition map.</w:t>
            </w:r>
          </w:p>
        </w:tc>
        <w:tc>
          <w:tcPr>
            <w:tcW w:type="dxa" w:w="4760"/>
            <w:vAlign w:val="top"/>
            <w:tcMar>
              <w:top w:w="80" w:type="dxa"/>
              <w:start w:w="120" w:type="dxa"/>
              <w:bottom w:w="80" w:type="dxa"/>
              <w:end w:w="120" w:type="dxa"/>
            </w:tcMar>
          </w:tcPr>
          <w:p>
            <w:pPr/>
            <w:r>
              <w:rPr>
                <w:sz w:val="16"/>
              </w:rPr>
              <w:t>Create version-controlled staged source files and define which user action releases each stage.</w:t>
            </w:r>
          </w:p>
        </w:tc>
      </w:tr>
      <w:tr>
        <w:trPr>
          <w:cantSplit/>
          <w:cantSplit/>
          <w:cantSplit/>
          <w:cantSplit/>
        </w:trPr>
        <w:tc>
          <w:tcPr>
            <w:tcW w:type="dxa" w:w="1200"/>
            <w:vAlign w:val="top"/>
            <w:tcMar>
              <w:top w:w="80" w:type="dxa"/>
              <w:start w:w="120" w:type="dxa"/>
              <w:bottom w:w="80" w:type="dxa"/>
              <w:end w:w="120" w:type="dxa"/>
            </w:tcMar>
          </w:tcPr>
          <w:p>
            <w:pPr/>
            <w:r>
              <w:rPr>
                <w:sz w:val="16"/>
              </w:rPr>
              <w:t>Risk</w:t>
            </w:r>
          </w:p>
        </w:tc>
        <w:tc>
          <w:tcPr>
            <w:tcW w:type="dxa" w:w="3400"/>
            <w:vAlign w:val="top"/>
            <w:tcMar>
              <w:top w:w="80" w:type="dxa"/>
              <w:start w:w="120" w:type="dxa"/>
              <w:bottom w:w="80" w:type="dxa"/>
              <w:end w:w="120" w:type="dxa"/>
            </w:tcMar>
          </w:tcPr>
          <w:p>
            <w:pPr/>
            <w:r>
              <w:rPr>
                <w:sz w:val="16"/>
              </w:rPr>
              <w:t>Translation changes the commercial, legal or operational meaning of supplier evidence.</w:t>
            </w:r>
          </w:p>
        </w:tc>
        <w:tc>
          <w:tcPr>
            <w:tcW w:type="dxa" w:w="4760"/>
            <w:vAlign w:val="top"/>
            <w:tcMar>
              <w:top w:w="80" w:type="dxa"/>
              <w:start w:w="120" w:type="dxa"/>
              <w:bottom w:w="80" w:type="dxa"/>
              <w:end w:w="120" w:type="dxa"/>
            </w:tcMar>
          </w:tcPr>
          <w:p>
            <w:pPr/>
            <w:r>
              <w:rPr>
                <w:sz w:val="16"/>
              </w:rPr>
              <w:t>Preserve the original as authoritative, use an approved glossary, label translations and require human review for consequential external communication or decisions.</w:t>
            </w:r>
          </w:p>
        </w:tc>
      </w:tr>
      <w:tr>
        <w:trPr>
          <w:cantSplit/>
          <w:cantSplit/>
          <w:cantSplit/>
          <w:cantSplit/>
        </w:trPr>
        <w:tc>
          <w:tcPr>
            <w:tcW w:type="dxa" w:w="1200"/>
            <w:vAlign w:val="top"/>
            <w:tcMar>
              <w:top w:w="80" w:type="dxa"/>
              <w:start w:w="120" w:type="dxa"/>
              <w:bottom w:w="80" w:type="dxa"/>
              <w:end w:w="120" w:type="dxa"/>
            </w:tcMar>
          </w:tcPr>
          <w:p>
            <w:pPr/>
            <w:r>
              <w:rPr>
                <w:sz w:val="16"/>
              </w:rPr>
              <w:t>Open decision</w:t>
            </w:r>
          </w:p>
        </w:tc>
        <w:tc>
          <w:tcPr>
            <w:tcW w:type="dxa" w:w="3400"/>
            <w:vAlign w:val="top"/>
            <w:tcMar>
              <w:top w:w="80" w:type="dxa"/>
              <w:start w:w="120" w:type="dxa"/>
              <w:bottom w:w="80" w:type="dxa"/>
              <w:end w:w="120" w:type="dxa"/>
            </w:tcMar>
          </w:tcPr>
          <w:p>
            <w:pPr/>
            <w:r>
              <w:rPr>
                <w:sz w:val="16"/>
              </w:rPr>
              <w:t>Approved German terminology, formal tone, locale rules and which content requires human language review.</w:t>
            </w:r>
          </w:p>
        </w:tc>
        <w:tc>
          <w:tcPr>
            <w:tcW w:type="dxa" w:w="4760"/>
            <w:vAlign w:val="top"/>
            <w:tcMar>
              <w:top w:w="80" w:type="dxa"/>
              <w:start w:w="120" w:type="dxa"/>
              <w:bottom w:w="80" w:type="dxa"/>
              <w:end w:w="120" w:type="dxa"/>
            </w:tcMar>
          </w:tcPr>
          <w:p>
            <w:pPr/>
            <w:r>
              <w:rPr>
                <w:sz w:val="16"/>
              </w:rPr>
              <w:t>Agree a bilingual glossary and review standard with the customer before final scenario build.</w:t>
            </w:r>
          </w:p>
        </w:tc>
      </w:tr>
    </w:tbl>
    <w:p>
      <w:pPr>
        <w:spacing w:after="0"/>
      </w:pPr>
    </w:p>
    <w:p>
      <w:pPr>
        <w:pStyle w:val="Heading1"/>
      </w:pPr>
      <w:r>
        <w:t>19. Future-State Extension Beyond the Limited Prototype</w:t>
      </w:r>
    </w:p>
    <w:p>
      <w:r>
        <w:t>Subject to prototype validation, future phases may include live integration with ERP, TMS, sourcing, contract and vendor systems; broader logistics categories; supplier-facing bid and corrective-action portals; automated document ingestion; advanced bid optimization; predictive performance risk; contract leakage recovery; continuous opportunity detection; and enterprise-grade deployment within a customer-controlled cloud environment. These items are not commitments of the limited prototype.</w:t>
      </w:r>
    </w:p>
    <w:p>
      <w:pPr>
        <w:pStyle w:val="Heading1"/>
      </w:pPr>
      <w:r>
        <w:t>20. Traceability to the Initial Opportunity</w:t>
      </w:r>
    </w:p>
    <w:p>
      <w:r>
        <w:t>The original May 2026 Birkenstock proposal described Prosera as an intelligent, action-oriented layer operating over existing enterprise systems, with human review, customer-controlled deployment and no autonomous system updates. This BRD carries those principles into a different, generic use case: logistics-services procurement and vendor performance. The inventory-positioning savings estimates and related operational claims in that proposal are not reused as benefits for this prototype because they concern a different business problem.</w:t>
      </w:r>
    </w:p>
    <w:p>
      <w:r>
        <w:br w:type="page"/>
      </w:r>
    </w:p>
    <w:p>
      <w:pPr>
        <w:pStyle w:val="Heading1"/>
      </w:pPr>
      <w:r>
        <w:t>21. Review and Approval</w:t>
      </w:r>
    </w:p>
    <w:p>
      <w:pPr>
        <w:pStyle w:val="Heading1"/>
      </w:pPr>
      <w:r>
        <w:t>20.1 Future Energy UI continuity acceptance</w:t>
      </w:r>
    </w:p>
    <w:p>
      <w:r>
        <w:t>The prototype is accepted only if a Future Energy user would recognise it as the same Compass procurement experience adapted for logistics services.</w:t>
      </w: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80"/>
        <w:gridCol w:w="4680"/>
      </w:tblGrid>
      <w:tr>
        <w:tc>
          <w:tcPr>
            <w:tcW w:type="dxa" w:w="4680"/>
            <w:vAlign w:val="center"/>
            <w:shd w:fill="1F4E79"/>
          </w:tcPr>
          <w:p>
            <w:r>
              <w:rPr>
                <w:b/>
                <w:color w:val="FFFFFF"/>
                <w:sz w:val="18"/>
              </w:rPr>
              <w:t>Area</w:t>
            </w:r>
          </w:p>
        </w:tc>
        <w:tc>
          <w:tcPr>
            <w:tcW w:type="dxa" w:w="4680"/>
            <w:vAlign w:val="center"/>
            <w:shd w:fill="1F4E79"/>
          </w:tcPr>
          <w:p>
            <w:r>
              <w:rPr>
                <w:b/>
                <w:color w:val="FFFFFF"/>
                <w:sz w:val="18"/>
              </w:rPr>
              <w:t>Acceptance requirement</w:t>
            </w:r>
          </w:p>
        </w:tc>
      </w:tr>
      <w:tr>
        <w:tc>
          <w:tcPr>
            <w:tcW w:type="dxa" w:w="4680"/>
            <w:vAlign w:val="center"/>
          </w:tcPr>
          <w:p>
            <w:r>
              <w:rPr>
                <w:sz w:val="18"/>
              </w:rPr>
              <w:t>Opening view</w:t>
            </w:r>
          </w:p>
        </w:tc>
        <w:tc>
          <w:tcPr>
            <w:tcW w:type="dxa" w:w="4680"/>
            <w:vAlign w:val="center"/>
          </w:tcPr>
          <w:p>
            <w:r>
              <w:rPr>
                <w:sz w:val="18"/>
              </w:rPr>
              <w:t>Use the Future Energy Action Centre pattern. Show a credible road-freight sourcing opportunity, its evidence, urgency and recommended next action.</w:t>
            </w:r>
          </w:p>
        </w:tc>
      </w:tr>
      <w:tr>
        <w:tc>
          <w:tcPr>
            <w:tcW w:type="dxa" w:w="4680"/>
            <w:vAlign w:val="center"/>
            <w:shd w:fill="F2F6FA"/>
          </w:tcPr>
          <w:p>
            <w:r>
              <w:rPr>
                <w:sz w:val="18"/>
              </w:rPr>
              <w:t>Navigation</w:t>
            </w:r>
          </w:p>
        </w:tc>
        <w:tc>
          <w:tcPr>
            <w:tcW w:type="dxa" w:w="4680"/>
            <w:vAlign w:val="center"/>
            <w:shd w:fill="F2F6FA"/>
          </w:tcPr>
          <w:p>
            <w:r>
              <w:rPr>
                <w:sz w:val="18"/>
              </w:rPr>
              <w:t>Retain Future Energy navigation and page hierarchy. Do not introduce a lifecycle board as the default product shell.</w:t>
            </w:r>
          </w:p>
        </w:tc>
      </w:tr>
      <w:tr>
        <w:tc>
          <w:tcPr>
            <w:tcW w:type="dxa" w:w="4680"/>
            <w:vAlign w:val="center"/>
          </w:tcPr>
          <w:p>
            <w:r>
              <w:rPr>
                <w:sz w:val="18"/>
              </w:rPr>
              <w:t>Modules</w:t>
            </w:r>
          </w:p>
        </w:tc>
        <w:tc>
          <w:tcPr>
            <w:tcW w:type="dxa" w:w="4680"/>
            <w:vAlign w:val="center"/>
          </w:tcPr>
          <w:p>
            <w:r>
              <w:rPr>
                <w:sz w:val="18"/>
              </w:rPr>
              <w:t>Communications, Evaluation, Award, Vendor 360 and Performance appear through normal navigation and context. Do not show locked cards or countdowns.</w:t>
            </w:r>
          </w:p>
        </w:tc>
      </w:tr>
      <w:tr>
        <w:tc>
          <w:tcPr>
            <w:tcW w:type="dxa" w:w="4680"/>
            <w:vAlign w:val="center"/>
            <w:shd w:fill="F2F6FA"/>
          </w:tcPr>
          <w:p>
            <w:r>
              <w:rPr>
                <w:sz w:val="18"/>
              </w:rPr>
              <w:t>Language</w:t>
            </w:r>
          </w:p>
        </w:tc>
        <w:tc>
          <w:tcPr>
            <w:tcW w:type="dxa" w:w="4680"/>
            <w:vAlign w:val="center"/>
            <w:shd w:fill="F2F6FA"/>
          </w:tcPr>
          <w:p>
            <w:r>
              <w:rPr>
                <w:sz w:val="18"/>
              </w:rPr>
              <w:t>Do not expose Stage 00, evidence released, opens at stage, source aliases, fixture IDs or similar implementation language.</w:t>
            </w:r>
          </w:p>
        </w:tc>
      </w:tr>
      <w:tr>
        <w:tc>
          <w:tcPr>
            <w:tcW w:type="dxa" w:w="4680"/>
            <w:vAlign w:val="center"/>
          </w:tcPr>
          <w:p>
            <w:r>
              <w:rPr>
                <w:sz w:val="18"/>
              </w:rPr>
              <w:t>New capability</w:t>
            </w:r>
          </w:p>
        </w:tc>
        <w:tc>
          <w:tcPr>
            <w:tcW w:type="dxa" w:w="4680"/>
            <w:vAlign w:val="center"/>
          </w:tcPr>
          <w:p>
            <w:r>
              <w:rPr>
                <w:sz w:val="18"/>
              </w:rPr>
              <w:t>Vendor 360 and Performance Management must inherit the Future Energy visual system and interaction conventions.</w:t>
            </w:r>
          </w:p>
        </w:tc>
      </w:tr>
    </w:tbl>
    <w:tbl>
      <w:tblPr>
        <w:tblStyle w:val="TableGrid"/>
        <w:tblW w:type="dxa" w:w="9360"/>
        <w:jc w:val="left"/>
        <w:tblLayout w:type="fixed"/>
        <w:tblLook w:firstColumn="1" w:firstRow="1" w:lastColumn="0" w:lastRow="0" w:noHBand="0" w:noVBand="1" w:val="04A0"/>
        <w:tblInd w:w="120" w:type="dxa"/>
      </w:tblPr>
      <w:tblGrid>
        <w:gridCol w:w="5000"/>
        <w:gridCol w:w="4360"/>
      </w:tblGrid>
      <w:tr>
        <w:trPr>
          <w:tblHeader w:val="true"/>
        </w:trPr>
        <w:tc>
          <w:tcPr>
            <w:tcW w:type="dxa" w:w="5000"/>
            <w:shd w:fill="E8EEF5"/>
            <w:vAlign w:val="center"/>
            <w:tcMar>
              <w:top w:w="80" w:type="dxa"/>
              <w:start w:w="120" w:type="dxa"/>
              <w:bottom w:w="80" w:type="dxa"/>
              <w:end w:w="120" w:type="dxa"/>
            </w:tcMar>
          </w:tcPr>
          <w:p>
            <w:r>
              <w:rPr>
                <w:b/>
                <w:color w:val="17365D"/>
                <w:sz w:val="18"/>
              </w:rPr>
              <w:t>Review area</w:t>
            </w:r>
          </w:p>
        </w:tc>
        <w:tc>
          <w:tcPr>
            <w:tcW w:type="dxa" w:w="4360"/>
            <w:shd w:fill="E8EEF5"/>
            <w:vAlign w:val="center"/>
            <w:tcMar>
              <w:top w:w="80" w:type="dxa"/>
              <w:start w:w="120" w:type="dxa"/>
              <w:bottom w:w="80" w:type="dxa"/>
              <w:end w:w="120" w:type="dxa"/>
            </w:tcMar>
          </w:tcPr>
          <w:p>
            <w:r>
              <w:rPr>
                <w:b/>
                <w:color w:val="17365D"/>
                <w:sz w:val="18"/>
              </w:rPr>
              <w:t>Owner / status</w:t>
            </w:r>
          </w:p>
        </w:tc>
      </w:tr>
      <w:tr>
        <w:trPr>
          <w:cantSplit/>
        </w:trPr>
        <w:tc>
          <w:tcPr>
            <w:tcW w:type="dxa" w:w="5000"/>
            <w:vAlign w:val="top"/>
            <w:tcMar>
              <w:top w:w="80" w:type="dxa"/>
              <w:start w:w="120" w:type="dxa"/>
              <w:bottom w:w="80" w:type="dxa"/>
              <w:end w:w="120" w:type="dxa"/>
            </w:tcMar>
          </w:tcPr>
          <w:p>
            <w:pPr>
              <w:spacing w:after="0"/>
            </w:pPr>
            <w:r>
              <w:rPr>
                <w:sz w:val="18"/>
              </w:rPr>
              <w:t>Business scope and target sourcing event</w:t>
            </w:r>
          </w:p>
        </w:tc>
        <w:tc>
          <w:tcPr>
            <w:tcW w:type="dxa" w:w="4360"/>
            <w:vAlign w:val="top"/>
            <w:tcMar>
              <w:top w:w="80" w:type="dxa"/>
              <w:start w:w="120" w:type="dxa"/>
              <w:bottom w:w="80" w:type="dxa"/>
              <w:end w:w="120" w:type="dxa"/>
            </w:tcMar>
          </w:tcPr>
          <w:p>
            <w:pPr>
              <w:spacing w:after="0"/>
            </w:pPr>
            <w:r>
              <w:rPr>
                <w:sz w:val="18"/>
              </w:rPr>
              <w:t>To be confirmed</w:t>
            </w:r>
          </w:p>
        </w:tc>
      </w:tr>
      <w:tr>
        <w:trPr>
          <w:cantSplit/>
        </w:trPr>
        <w:tc>
          <w:tcPr>
            <w:tcW w:type="dxa" w:w="5000"/>
            <w:vAlign w:val="top"/>
            <w:tcMar>
              <w:top w:w="80" w:type="dxa"/>
              <w:start w:w="120" w:type="dxa"/>
              <w:bottom w:w="80" w:type="dxa"/>
              <w:end w:w="120" w:type="dxa"/>
            </w:tcMar>
          </w:tcPr>
          <w:p>
            <w:pPr>
              <w:spacing w:after="0"/>
            </w:pPr>
            <w:r>
              <w:rPr>
                <w:sz w:val="18"/>
              </w:rPr>
              <w:t>Logistics requirements and KPIs</w:t>
            </w:r>
          </w:p>
        </w:tc>
        <w:tc>
          <w:tcPr>
            <w:tcW w:type="dxa" w:w="4360"/>
            <w:vAlign w:val="top"/>
            <w:tcMar>
              <w:top w:w="80" w:type="dxa"/>
              <w:start w:w="120" w:type="dxa"/>
              <w:bottom w:w="80" w:type="dxa"/>
              <w:end w:w="120" w:type="dxa"/>
            </w:tcMar>
          </w:tcPr>
          <w:p>
            <w:pPr>
              <w:spacing w:after="0"/>
            </w:pPr>
            <w:r>
              <w:rPr>
                <w:sz w:val="18"/>
              </w:rPr>
              <w:t>To be confirmed</w:t>
            </w:r>
          </w:p>
        </w:tc>
      </w:tr>
      <w:tr>
        <w:trPr>
          <w:cantSplit/>
        </w:trPr>
        <w:tc>
          <w:tcPr>
            <w:tcW w:type="dxa" w:w="5000"/>
            <w:vAlign w:val="top"/>
            <w:tcMar>
              <w:top w:w="80" w:type="dxa"/>
              <w:start w:w="120" w:type="dxa"/>
              <w:bottom w:w="80" w:type="dxa"/>
              <w:end w:w="120" w:type="dxa"/>
            </w:tcMar>
          </w:tcPr>
          <w:p>
            <w:pPr>
              <w:spacing w:after="0"/>
            </w:pPr>
            <w:r>
              <w:rPr>
                <w:sz w:val="18"/>
              </w:rPr>
              <w:t>Procurement policy and approval thresholds</w:t>
            </w:r>
          </w:p>
        </w:tc>
        <w:tc>
          <w:tcPr>
            <w:tcW w:type="dxa" w:w="4360"/>
            <w:vAlign w:val="top"/>
            <w:tcMar>
              <w:top w:w="80" w:type="dxa"/>
              <w:start w:w="120" w:type="dxa"/>
              <w:bottom w:w="80" w:type="dxa"/>
              <w:end w:w="120" w:type="dxa"/>
            </w:tcMar>
          </w:tcPr>
          <w:p>
            <w:pPr>
              <w:spacing w:after="0"/>
            </w:pPr>
            <w:r>
              <w:rPr>
                <w:sz w:val="18"/>
              </w:rPr>
              <w:t>To be confirmed</w:t>
            </w:r>
          </w:p>
        </w:tc>
      </w:tr>
      <w:tr>
        <w:trPr>
          <w:cantSplit/>
        </w:trPr>
        <w:tc>
          <w:tcPr>
            <w:tcW w:type="dxa" w:w="5000"/>
            <w:vAlign w:val="top"/>
            <w:tcMar>
              <w:top w:w="80" w:type="dxa"/>
              <w:start w:w="120" w:type="dxa"/>
              <w:bottom w:w="80" w:type="dxa"/>
              <w:end w:w="120" w:type="dxa"/>
            </w:tcMar>
          </w:tcPr>
          <w:p>
            <w:pPr>
              <w:spacing w:after="0"/>
            </w:pPr>
            <w:r>
              <w:rPr>
                <w:sz w:val="18"/>
              </w:rPr>
              <w:t>Vendor scoring method and No History treatment</w:t>
            </w:r>
          </w:p>
        </w:tc>
        <w:tc>
          <w:tcPr>
            <w:tcW w:type="dxa" w:w="4360"/>
            <w:vAlign w:val="top"/>
            <w:tcMar>
              <w:top w:w="80" w:type="dxa"/>
              <w:start w:w="120" w:type="dxa"/>
              <w:bottom w:w="80" w:type="dxa"/>
              <w:end w:w="120" w:type="dxa"/>
            </w:tcMar>
          </w:tcPr>
          <w:p>
            <w:pPr>
              <w:spacing w:after="0"/>
            </w:pPr>
            <w:r>
              <w:rPr>
                <w:sz w:val="18"/>
              </w:rPr>
              <w:t>To be confirmed</w:t>
            </w:r>
          </w:p>
        </w:tc>
      </w:tr>
      <w:tr>
        <w:trPr>
          <w:cantSplit/>
        </w:trPr>
        <w:tc>
          <w:tcPr>
            <w:tcW w:type="dxa" w:w="5000"/>
            <w:vAlign w:val="top"/>
            <w:tcMar>
              <w:top w:w="80" w:type="dxa"/>
              <w:start w:w="120" w:type="dxa"/>
              <w:bottom w:w="80" w:type="dxa"/>
              <w:end w:w="120" w:type="dxa"/>
            </w:tcMar>
          </w:tcPr>
          <w:p>
            <w:pPr>
              <w:spacing w:after="0"/>
            </w:pPr>
            <w:r>
              <w:rPr>
                <w:sz w:val="18"/>
              </w:rPr>
              <w:t>Email access, filtering thresholds and outbound authority</w:t>
            </w:r>
          </w:p>
        </w:tc>
        <w:tc>
          <w:tcPr>
            <w:tcW w:type="dxa" w:w="4360"/>
            <w:vAlign w:val="top"/>
            <w:tcMar>
              <w:top w:w="80" w:type="dxa"/>
              <w:start w:w="120" w:type="dxa"/>
              <w:bottom w:w="80" w:type="dxa"/>
              <w:end w:w="120" w:type="dxa"/>
            </w:tcMar>
          </w:tcPr>
          <w:p>
            <w:pPr>
              <w:spacing w:after="0"/>
            </w:pPr>
            <w:r>
              <w:rPr>
                <w:sz w:val="18"/>
              </w:rPr>
              <w:t>To be confirmed</w:t>
            </w:r>
          </w:p>
        </w:tc>
      </w:tr>
      <w:tr>
        <w:trPr>
          <w:cantSplit/>
        </w:trPr>
        <w:tc>
          <w:tcPr>
            <w:tcW w:type="dxa" w:w="5000"/>
            <w:vAlign w:val="top"/>
            <w:tcMar>
              <w:top w:w="80" w:type="dxa"/>
              <w:start w:w="120" w:type="dxa"/>
              <w:bottom w:w="80" w:type="dxa"/>
              <w:end w:w="120" w:type="dxa"/>
            </w:tcMar>
          </w:tcPr>
          <w:p>
            <w:pPr>
              <w:spacing w:after="0"/>
            </w:pPr>
            <w:r>
              <w:rPr>
                <w:sz w:val="18"/>
              </w:rPr>
              <w:t>Data availability and source ownership</w:t>
            </w:r>
          </w:p>
        </w:tc>
        <w:tc>
          <w:tcPr>
            <w:tcW w:type="dxa" w:w="4360"/>
            <w:vAlign w:val="top"/>
            <w:tcMar>
              <w:top w:w="80" w:type="dxa"/>
              <w:start w:w="120" w:type="dxa"/>
              <w:bottom w:w="80" w:type="dxa"/>
              <w:end w:w="120" w:type="dxa"/>
            </w:tcMar>
          </w:tcPr>
          <w:p>
            <w:pPr>
              <w:spacing w:after="0"/>
            </w:pPr>
            <w:r>
              <w:rPr>
                <w:sz w:val="18"/>
              </w:rPr>
              <w:t>To be confirmed</w:t>
            </w:r>
          </w:p>
        </w:tc>
      </w:tr>
      <w:tr>
        <w:trPr>
          <w:cantSplit/>
        </w:trPr>
        <w:tc>
          <w:tcPr>
            <w:tcW w:type="dxa" w:w="5000"/>
            <w:vAlign w:val="top"/>
            <w:tcMar>
              <w:top w:w="80" w:type="dxa"/>
              <w:start w:w="120" w:type="dxa"/>
              <w:bottom w:w="80" w:type="dxa"/>
              <w:end w:w="120" w:type="dxa"/>
            </w:tcMar>
          </w:tcPr>
          <w:p>
            <w:pPr>
              <w:spacing w:after="0"/>
            </w:pPr>
            <w:r>
              <w:rPr>
                <w:sz w:val="18"/>
              </w:rPr>
              <w:t>Security / architecture assumptions</w:t>
            </w:r>
          </w:p>
        </w:tc>
        <w:tc>
          <w:tcPr>
            <w:tcW w:type="dxa" w:w="4360"/>
            <w:vAlign w:val="top"/>
            <w:tcMar>
              <w:top w:w="80" w:type="dxa"/>
              <w:start w:w="120" w:type="dxa"/>
              <w:bottom w:w="80" w:type="dxa"/>
              <w:end w:w="120" w:type="dxa"/>
            </w:tcMar>
          </w:tcPr>
          <w:p>
            <w:pPr>
              <w:spacing w:after="0"/>
            </w:pPr>
            <w:r>
              <w:rPr>
                <w:sz w:val="18"/>
              </w:rPr>
              <w:t>To be confirmed</w:t>
            </w:r>
          </w:p>
        </w:tc>
      </w:tr>
      <w:tr>
        <w:trPr>
          <w:cantSplit/>
        </w:trPr>
        <w:tc>
          <w:tcPr>
            <w:tcW w:type="dxa" w:w="5000"/>
            <w:vAlign w:val="top"/>
            <w:tcMar>
              <w:top w:w="80" w:type="dxa"/>
              <w:start w:w="120" w:type="dxa"/>
              <w:bottom w:w="80" w:type="dxa"/>
              <w:end w:w="120" w:type="dxa"/>
            </w:tcMar>
          </w:tcPr>
          <w:p>
            <w:pPr>
              <w:spacing w:after="0"/>
            </w:pPr>
            <w:r>
              <w:rPr>
                <w:sz w:val="18"/>
              </w:rPr>
              <w:t>Prototype acceptance criteria</w:t>
            </w:r>
          </w:p>
        </w:tc>
        <w:tc>
          <w:tcPr>
            <w:tcW w:type="dxa" w:w="4360"/>
            <w:vAlign w:val="top"/>
            <w:tcMar>
              <w:top w:w="80" w:type="dxa"/>
              <w:start w:w="120" w:type="dxa"/>
              <w:bottom w:w="80" w:type="dxa"/>
              <w:end w:w="120" w:type="dxa"/>
            </w:tcMar>
          </w:tcPr>
          <w:p>
            <w:pPr>
              <w:spacing w:after="0"/>
            </w:pPr>
            <w:r>
              <w:rPr>
                <w:sz w:val="18"/>
              </w:rPr>
              <w:t>To be confirmed</w:t>
            </w:r>
          </w:p>
        </w:tc>
      </w:tr>
      <w:tr>
        <w:trPr>
          <w:cantSplit/>
          <w:cantSplit/>
        </w:trPr>
        <w:tc>
          <w:tcPr>
            <w:tcW w:type="dxa" w:w="5000"/>
            <w:vAlign w:val="top"/>
            <w:tcMar>
              <w:top w:w="80" w:type="dxa"/>
              <w:start w:w="120" w:type="dxa"/>
              <w:bottom w:w="80" w:type="dxa"/>
              <w:end w:w="120" w:type="dxa"/>
            </w:tcMar>
          </w:tcPr>
          <w:p>
            <w:pPr/>
            <w:r>
              <w:rPr>
                <w:sz w:val="18"/>
              </w:rPr>
              <w:t>Stateful workflow, stage gates and replay behaviour</w:t>
            </w:r>
          </w:p>
        </w:tc>
        <w:tc>
          <w:tcPr>
            <w:tcW w:type="dxa" w:w="4360"/>
            <w:vAlign w:val="top"/>
            <w:tcMar>
              <w:top w:w="80" w:type="dxa"/>
              <w:start w:w="120" w:type="dxa"/>
              <w:bottom w:w="80" w:type="dxa"/>
              <w:end w:w="120" w:type="dxa"/>
            </w:tcMar>
          </w:tcPr>
          <w:p>
            <w:pPr/>
            <w:r>
              <w:rPr>
                <w:sz w:val="18"/>
              </w:rPr>
              <w:t>To be confirmed</w:t>
            </w:r>
          </w:p>
        </w:tc>
      </w:tr>
      <w:tr>
        <w:trPr>
          <w:cantSplit/>
          <w:cantSplit/>
        </w:trPr>
        <w:tc>
          <w:tcPr>
            <w:tcW w:type="dxa" w:w="5000"/>
            <w:vAlign w:val="top"/>
            <w:tcMar>
              <w:top w:w="80" w:type="dxa"/>
              <w:start w:w="120" w:type="dxa"/>
              <w:bottom w:w="80" w:type="dxa"/>
              <w:end w:w="120" w:type="dxa"/>
            </w:tcMar>
          </w:tcPr>
          <w:p>
            <w:pPr/>
            <w:r>
              <w:rPr>
                <w:sz w:val="18"/>
              </w:rPr>
              <w:t>British English and German terminology, locale rules and translation-review policy</w:t>
            </w:r>
          </w:p>
        </w:tc>
        <w:tc>
          <w:tcPr>
            <w:tcW w:type="dxa" w:w="4360"/>
            <w:vAlign w:val="top"/>
            <w:tcMar>
              <w:top w:w="80" w:type="dxa"/>
              <w:start w:w="120" w:type="dxa"/>
              <w:bottom w:w="80" w:type="dxa"/>
              <w:end w:w="120" w:type="dxa"/>
            </w:tcMar>
          </w:tcPr>
          <w:p>
            <w:pPr/>
            <w:r>
              <w:rPr>
                <w:sz w:val="18"/>
              </w:rPr>
              <w:t>To be confirmed</w:t>
            </w:r>
          </w:p>
        </w:tc>
      </w:tr>
    </w:tbl>
    <w:p>
      <w:pPr>
        <w:spacing w:after="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6"/>
      </w:rPr>
      <w:t xml:space="preserve">CONFIDENTIAL  |  Compass Logistics Procurement - Limited Prototype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666666"/>
        <w:sz w:val="16"/>
      </w:rPr>
      <w:t>PROSERA  |  BUSINESS REQUIREMENTS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Compass Logistics Procurement Limited Prototype BRD v0.4</dc:title>
  <dc:subject>Business requirements for a stateful bilingual logistics procurement prototype</dc:subject>
  <dc:creator>Prosera Inc.</dc:creator>
  <cp:keywords/>
  <dc:description>Draft for review; generic limited prototype.</dc:description>
  <cp:lastModifiedBy/>
  <cp:revision>1</cp:revision>
  <dcterms:created xsi:type="dcterms:W3CDTF">2013-12-23T23:15:00Z</dcterms:created>
  <dcterms:modified xsi:type="dcterms:W3CDTF">2013-12-23T23:15:00Z</dcterms:modified>
  <cp:category/>
</cp:coreProperties>
</file>