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560"/>
        <w:jc w:val="center"/>
      </w:pPr>
      <w:r>
        <w:t>Compass Logistics Procurement</w:t>
      </w:r>
    </w:p>
    <w:p>
      <w:pPr>
        <w:jc w:val="center"/>
      </w:pPr>
      <w:r>
        <w:t>Future Energy UI and Functional Amendment Product Requirements Document</w:t>
      </w:r>
    </w:p>
    <w:p>
      <w:pPr>
        <w:jc w:val="center"/>
      </w:pPr>
      <w:r>
        <w:rPr>
          <w:i/>
          <w:color w:val="5B6573"/>
          <w:sz w:val="20"/>
        </w:rPr>
        <w:t>Understand | Validate | Specify | Source | Evaluate | Award | Monitor | Renew</w:t>
      </w:r>
    </w:p>
    <w:tbl>
      <w:tblPr>
        <w:tblW w:type="auto" w:w="0"/>
        <w:jc w:val="center"/>
        <w:tblLayout w:type="fixed"/>
        <w:tblLook w:firstColumn="1" w:firstRow="1" w:lastColumn="0" w:lastRow="0" w:noHBand="0" w:noVBand="1" w:val="04A0"/>
        <w:tblBorders>
          <w:top w:val="single" w:sz="4" w:color="B8C7D9"/>
          <w:left w:val="single" w:sz="4" w:color="B8C7D9"/>
          <w:bottom w:val="single" w:sz="4" w:color="B8C7D9"/>
          <w:right w:val="single" w:sz="4" w:color="B8C7D9"/>
          <w:insideH w:val="single" w:sz="4" w:color="B8C7D9"/>
          <w:insideV w:val="single" w:sz="4" w:color="B8C7D9"/>
        </w:tblBorders>
      </w:tblPr>
      <w:tblGrid>
        <w:gridCol w:w="2477"/>
        <w:gridCol w:w="8323"/>
      </w:tblGrid>
      <w:tr>
        <w:trPr>
          <w:cantSplit/>
        </w:trPr>
        <w:tc>
          <w:tcPr>
            <w:tcW w:type="dxa" w:w="2477"/>
            <w:tcMar>
              <w:top w:w="90" w:type="dxa"/>
              <w:start w:w="110" w:type="dxa"/>
              <w:bottom w:w="90" w:type="dxa"/>
              <w:end w:w="110" w:type="dxa"/>
            </w:tcMar>
            <w:vAlign w:val="top"/>
            <w:shd w:fill="17365D"/>
          </w:tcPr>
          <w:p>
            <w:pPr>
              <w:spacing w:after="40" w:line="240" w:lineRule="auto"/>
            </w:pPr>
            <w:r>
              <w:rPr>
                <w:rFonts w:ascii="Aptos" w:hAnsi="Aptos"/>
                <w:b/>
                <w:color w:val="FFFFFF"/>
                <w:sz w:val="16"/>
              </w:rPr>
              <w:t>Source</w:t>
            </w:r>
          </w:p>
        </w:tc>
        <w:tc>
          <w:tcPr>
            <w:tcW w:type="dxa" w:w="8323"/>
            <w:tcMar>
              <w:top w:w="90" w:type="dxa"/>
              <w:start w:w="110" w:type="dxa"/>
              <w:bottom w:w="90" w:type="dxa"/>
              <w:end w:w="110" w:type="dxa"/>
            </w:tcMar>
            <w:vAlign w:val="top"/>
          </w:tcPr>
          <w:p>
            <w:r>
              <w:t>Compass Logistics Procurement - Limited Prototype BRD v0.4, 21 September 2026 only</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Document status</w:t>
            </w:r>
          </w:p>
        </w:tc>
        <w:tc>
          <w:tcPr>
            <w:tcW w:type="dxa" w:w="8323"/>
            <w:tcMar>
              <w:top w:w="90" w:type="dxa"/>
              <w:start w:w="110" w:type="dxa"/>
              <w:bottom w:w="90" w:type="dxa"/>
              <w:end w:w="110" w:type="dxa"/>
            </w:tcMar>
            <w:vAlign w:val="top"/>
          </w:tcPr>
          <w:p>
            <w:pPr>
              <w:spacing w:after="40" w:line="240" w:lineRule="auto"/>
            </w:pPr>
            <w:r>
              <w:rPr>
                <w:rFonts w:ascii="Aptos" w:hAnsi="Aptos"/>
                <w:sz w:val="16"/>
              </w:rPr>
              <w:t>Draft amendment for review</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PRD version</w:t>
            </w:r>
          </w:p>
        </w:tc>
        <w:tc>
          <w:tcPr>
            <w:tcW w:type="dxa" w:w="8323"/>
            <w:tcMar>
              <w:top w:w="90" w:type="dxa"/>
              <w:start w:w="110" w:type="dxa"/>
              <w:bottom w:w="90" w:type="dxa"/>
              <w:end w:w="110" w:type="dxa"/>
            </w:tcMar>
            <w:vAlign w:val="top"/>
          </w:tcPr>
          <w:p>
            <w:r>
              <w:t>0.6</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Showcase date</w:t>
            </w:r>
          </w:p>
        </w:tc>
        <w:tc>
          <w:tcPr>
            <w:tcW w:type="dxa" w:w="8323"/>
            <w:tcMar>
              <w:top w:w="90" w:type="dxa"/>
              <w:start w:w="110" w:type="dxa"/>
              <w:bottom w:w="90" w:type="dxa"/>
              <w:end w:w="110" w:type="dxa"/>
            </w:tcMar>
            <w:vAlign w:val="top"/>
          </w:tcPr>
          <w:p>
            <w:pPr>
              <w:spacing w:after="40" w:line="240" w:lineRule="auto"/>
            </w:pPr>
            <w:r>
              <w:rPr>
                <w:rFonts w:ascii="Aptos" w:hAnsi="Aptos"/>
                <w:sz w:val="16"/>
              </w:rPr>
              <w:t>To be confirmed</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Primary personas</w:t>
            </w:r>
          </w:p>
        </w:tc>
        <w:tc>
          <w:tcPr>
            <w:tcW w:type="dxa" w:w="8323"/>
            <w:tcMar>
              <w:top w:w="90" w:type="dxa"/>
              <w:start w:w="110" w:type="dxa"/>
              <w:bottom w:w="90" w:type="dxa"/>
              <w:end w:w="110" w:type="dxa"/>
            </w:tcMar>
            <w:vAlign w:val="top"/>
          </w:tcPr>
          <w:p>
            <w:pPr>
              <w:spacing w:after="40" w:line="240" w:lineRule="auto"/>
            </w:pPr>
            <w:r>
              <w:rPr>
                <w:rFonts w:ascii="Aptos" w:hAnsi="Aptos"/>
                <w:sz w:val="16"/>
              </w:rPr>
              <w:t>Procurement / Category Manager; Logistics / Transportation Operations; Supplier / Carrier Manager; Approver / Finance</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Prototype scenario</w:t>
            </w:r>
          </w:p>
        </w:tc>
        <w:tc>
          <w:tcPr>
            <w:tcW w:type="dxa" w:w="8323"/>
            <w:tcMar>
              <w:top w:w="90" w:type="dxa"/>
              <w:start w:w="110" w:type="dxa"/>
              <w:bottom w:w="90" w:type="dxa"/>
              <w:end w:w="110" w:type="dxa"/>
            </w:tcMar>
            <w:vAlign w:val="top"/>
          </w:tcPr>
          <w:p>
            <w:pPr>
              <w:spacing w:after="40" w:line="240" w:lineRule="auto"/>
            </w:pPr>
            <w:r>
              <w:rPr>
                <w:rFonts w:ascii="Aptos" w:hAnsi="Aptos"/>
                <w:sz w:val="16"/>
              </w:rPr>
              <w:t>One representative European road-freight sourcing event using controlled synthetic or customer-approved historical data</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Scope</w:t>
            </w:r>
          </w:p>
        </w:tc>
        <w:tc>
          <w:tcPr>
            <w:tcW w:type="dxa" w:w="8323"/>
            <w:tcMar>
              <w:top w:w="90" w:type="dxa"/>
              <w:start w:w="110" w:type="dxa"/>
              <w:bottom w:w="90" w:type="dxa"/>
              <w:end w:w="110" w:type="dxa"/>
            </w:tcMar>
            <w:vAlign w:val="top"/>
          </w:tcPr>
          <w:p>
            <w:pPr>
              <w:spacing w:after="40" w:line="240" w:lineRule="auto"/>
            </w:pPr>
            <w:r>
              <w:rPr>
                <w:rFonts w:ascii="Aptos" w:hAnsi="Aptos"/>
                <w:sz w:val="16"/>
              </w:rPr>
              <w:t>Limited prototype; no production deployment, autonomous external communication, contract signature, payment, award, reallocation or system-of-record update</w:t>
            </w:r>
          </w:p>
        </w:tc>
      </w:tr>
    </w:tbl>
    <w:p>
      <w:pPr>
        <w:spacing w:after="20"/>
      </w:pPr>
    </w:p>
    <w:p>
      <w:pPr>
        <w:pStyle w:val="Heading1"/>
      </w:pPr>
      <w:r>
        <w:t>Product objective</w:t>
      </w:r>
    </w:p>
    <w:p>
      <w:pPr>
        <w:pStyle w:val="Heading1"/>
      </w:pPr>
      <w:r>
        <w:t>Product baseline and screen delta</w:t>
      </w:r>
    </w:p>
    <w:p>
      <w:r>
        <w:t>Future Energy is the implementation baseline. The requirements below describe deltas from that baseline. Existing Future Energy behaviour remains unchanged unless this PRD expressly modifies it.</w:t>
      </w:r>
    </w:p>
    <w:p>
      <w:r>
        <w:rPr>
          <w:b/>
        </w:rPr>
        <w:t xml:space="preserve">Required customer-facing convention: </w:t>
      </w:r>
      <w:r>
        <w:t>Understand, Specify, Validate, Score and Award remain the Future Energy procurement stages. Monitor and Act extend that convention for post-award vendor performance. Logistics terms describe the work within these stages; they do not replace the stage names.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7"/>
        <w:gridCol w:w="3427"/>
        <w:gridCol w:w="3427"/>
      </w:tblGrid>
      <w:tr>
        <w:tc>
          <w:tcPr>
            <w:tcW w:type="dxa" w:w="3427"/>
            <w:vAlign w:val="center"/>
            <w:shd w:fill="1F4E79"/>
          </w:tcPr>
          <w:p>
            <w:r>
              <w:rPr>
                <w:b/>
                <w:color w:val="FFFFFF"/>
                <w:sz w:val="18"/>
              </w:rPr>
              <w:t>Future Energy area</w:t>
            </w:r>
          </w:p>
        </w:tc>
        <w:tc>
          <w:tcPr>
            <w:tcW w:type="dxa" w:w="3427"/>
            <w:vAlign w:val="center"/>
            <w:shd w:fill="1F4E79"/>
          </w:tcPr>
          <w:p>
            <w:r>
              <w:rPr>
                <w:b/>
                <w:color w:val="FFFFFF"/>
                <w:sz w:val="18"/>
              </w:rPr>
              <w:t>Treatment</w:t>
            </w:r>
          </w:p>
        </w:tc>
        <w:tc>
          <w:tcPr>
            <w:tcW w:type="dxa" w:w="3427"/>
            <w:vAlign w:val="center"/>
            <w:shd w:fill="1F4E79"/>
          </w:tcPr>
          <w:p>
            <w:r>
              <w:rPr>
                <w:b/>
                <w:color w:val="FFFFFF"/>
                <w:sz w:val="18"/>
              </w:rPr>
              <w:t>Logistics amendment</w:t>
            </w:r>
          </w:p>
        </w:tc>
      </w:tr>
      <w:tr>
        <w:tc>
          <w:tcPr>
            <w:tcW w:type="dxa" w:w="3427"/>
            <w:vAlign w:val="center"/>
          </w:tcPr>
          <w:p>
            <w:r>
              <w:t>Global navigation and shell</w:t>
            </w:r>
          </w:p>
        </w:tc>
        <w:tc>
          <w:tcPr>
            <w:tcW w:type="dxa" w:w="3427"/>
            <w:vAlign w:val="center"/>
          </w:tcPr>
          <w:p>
            <w:r>
              <w:rPr>
                <w:sz w:val="18"/>
              </w:rPr>
              <w:t>Retain unchanged</w:t>
            </w:r>
          </w:p>
        </w:tc>
        <w:tc>
          <w:tcPr>
            <w:tcW w:type="dxa" w:w="3427"/>
            <w:vAlign w:val="center"/>
          </w:tcPr>
          <w:p>
            <w:r>
              <w:rPr>
                <w:sz w:val="18"/>
              </w:rPr>
              <w:t>Compass Logistics Procurement label and British English/German selector only. No stage selector in customer UI.</w:t>
            </w:r>
          </w:p>
        </w:tc>
      </w:tr>
      <w:tr>
        <w:tc>
          <w:tcPr>
            <w:tcW w:type="dxa" w:w="3427"/>
            <w:vAlign w:val="center"/>
            <w:shd w:fill="F2F6FA"/>
          </w:tcPr>
          <w:p>
            <w:r>
              <w:t>Understand / Action Centre</w:t>
            </w:r>
          </w:p>
        </w:tc>
        <w:tc>
          <w:tcPr>
            <w:tcW w:type="dxa" w:w="3427"/>
            <w:vAlign w:val="center"/>
            <w:shd w:fill="F2F6FA"/>
          </w:tcPr>
          <w:p>
            <w:r>
              <w:rPr>
                <w:sz w:val="18"/>
              </w:rPr>
              <w:t>Retain and adapt</w:t>
            </w:r>
          </w:p>
        </w:tc>
        <w:tc>
          <w:tcPr>
            <w:tcW w:type="dxa" w:w="3427"/>
            <w:vAlign w:val="center"/>
            <w:shd w:fill="F2F6FA"/>
          </w:tcPr>
          <w:p>
            <w:r>
              <w:rPr>
                <w:sz w:val="18"/>
              </w:rPr>
              <w:t>Use the existing action-card pattern. Add contract expiry, sourcing need, performance exception and corrective-action types.</w:t>
            </w:r>
          </w:p>
        </w:tc>
      </w:tr>
      <w:tr>
        <w:tc>
          <w:tcPr>
            <w:tcW w:type="dxa" w:w="3427"/>
            <w:vAlign w:val="center"/>
          </w:tcPr>
          <w:p>
            <w:r>
              <w:t>Specify / Sourcing Workspace</w:t>
            </w:r>
          </w:p>
        </w:tc>
        <w:tc>
          <w:tcPr>
            <w:tcW w:type="dxa" w:w="3427"/>
            <w:vAlign w:val="center"/>
          </w:tcPr>
          <w:p>
            <w:r>
              <w:rPr>
                <w:sz w:val="18"/>
              </w:rPr>
              <w:t>Retain and adapt</w:t>
            </w:r>
          </w:p>
        </w:tc>
        <w:tc>
          <w:tcPr>
            <w:tcW w:type="dxa" w:w="3427"/>
            <w:vAlign w:val="center"/>
          </w:tcPr>
          <w:p>
            <w:r>
              <w:rPr>
                <w:sz w:val="18"/>
              </w:rPr>
              <w:t>Replace parts, quantities and engineering fields with lanes, volumes, services, SLAs, rates and carrier capacity.</w:t>
            </w:r>
          </w:p>
        </w:tc>
      </w:tr>
      <w:tr>
        <w:tc>
          <w:tcPr>
            <w:tcW w:type="dxa" w:w="3427"/>
            <w:vAlign w:val="center"/>
            <w:shd w:fill="F2F6FA"/>
          </w:tcPr>
          <w:p>
            <w:r>
              <w:t>Specify / RFP and ITT Authoring</w:t>
            </w:r>
          </w:p>
        </w:tc>
        <w:tc>
          <w:tcPr>
            <w:tcW w:type="dxa" w:w="3427"/>
            <w:vAlign w:val="center"/>
            <w:shd w:fill="F2F6FA"/>
          </w:tcPr>
          <w:p>
            <w:r>
              <w:rPr>
                <w:sz w:val="18"/>
              </w:rPr>
              <w:t>Retain and adapt</w:t>
            </w:r>
          </w:p>
        </w:tc>
        <w:tc>
          <w:tcPr>
            <w:tcW w:type="dxa" w:w="3427"/>
            <w:vAlign w:val="center"/>
            <w:shd w:fill="F2F6FA"/>
          </w:tcPr>
          <w:p>
            <w:r>
              <w:rPr>
                <w:sz w:val="18"/>
              </w:rPr>
              <w:t>Use the existing cited-document workflow to extract logistics requirements from separate source documents and structured data, resolve gaps, and generate bilingual output. A pre-written RFP is test-only expected output.</w:t>
            </w:r>
          </w:p>
        </w:tc>
      </w:tr>
      <w:tr>
        <w:tc>
          <w:tcPr>
            <w:tcW w:type="dxa" w:w="3427"/>
            <w:vAlign w:val="center"/>
          </w:tcPr>
          <w:p>
            <w:r>
              <w:t>Validate / Supplier Communications</w:t>
            </w:r>
          </w:p>
        </w:tc>
        <w:tc>
          <w:tcPr>
            <w:tcW w:type="dxa" w:w="3427"/>
            <w:vAlign w:val="center"/>
          </w:tcPr>
          <w:p>
            <w:r>
              <w:rPr>
                <w:sz w:val="18"/>
              </w:rPr>
              <w:t>Retain and extend</w:t>
            </w:r>
          </w:p>
        </w:tc>
        <w:tc>
          <w:tcPr>
            <w:tcW w:type="dxa" w:w="3427"/>
            <w:vAlign w:val="center"/>
          </w:tcPr>
          <w:p>
            <w:r>
              <w:rPr>
                <w:sz w:val="18"/>
              </w:rPr>
              <w:t>Use existing communications pattern; add Gmail relevance filtering, attachment versioning and governed outbound drafts.</w:t>
            </w:r>
          </w:p>
        </w:tc>
      </w:tr>
      <w:tr>
        <w:tc>
          <w:tcPr>
            <w:tcW w:type="dxa" w:w="3427"/>
            <w:vAlign w:val="center"/>
            <w:shd w:fill="F2F6FA"/>
          </w:tcPr>
          <w:p>
            <w:r>
              <w:t>Score / Bid Evaluation</w:t>
            </w:r>
          </w:p>
        </w:tc>
        <w:tc>
          <w:tcPr>
            <w:tcW w:type="dxa" w:w="3427"/>
            <w:vAlign w:val="center"/>
            <w:shd w:fill="F2F6FA"/>
          </w:tcPr>
          <w:p>
            <w:r>
              <w:rPr>
                <w:sz w:val="18"/>
              </w:rPr>
              <w:t>Retain and adapt</w:t>
            </w:r>
          </w:p>
        </w:tc>
        <w:tc>
          <w:tcPr>
            <w:tcW w:type="dxa" w:w="3427"/>
            <w:vAlign w:val="center"/>
            <w:shd w:fill="F2F6FA"/>
          </w:tcPr>
          <w:p>
            <w:r>
              <w:rPr>
                <w:sz w:val="18"/>
              </w:rPr>
              <w:t>Keep qualification gates and weighted scoring; add lane-rate normalisation and approved vendor-history treatment.</w:t>
            </w:r>
          </w:p>
        </w:tc>
      </w:tr>
      <w:tr>
        <w:tc>
          <w:tcPr>
            <w:tcW w:type="dxa" w:w="3427"/>
            <w:vAlign w:val="center"/>
          </w:tcPr>
          <w:p>
            <w:r>
              <w:t>Award / Approval and Award</w:t>
            </w:r>
          </w:p>
        </w:tc>
        <w:tc>
          <w:tcPr>
            <w:tcW w:type="dxa" w:w="3427"/>
            <w:vAlign w:val="center"/>
          </w:tcPr>
          <w:p>
            <w:r>
              <w:rPr>
                <w:sz w:val="18"/>
              </w:rPr>
              <w:t>Retain unchanged</w:t>
            </w:r>
          </w:p>
        </w:tc>
        <w:tc>
          <w:tcPr>
            <w:tcW w:type="dxa" w:w="3427"/>
            <w:vAlign w:val="center"/>
          </w:tcPr>
          <w:p>
            <w:r>
              <w:rPr>
                <w:sz w:val="18"/>
              </w:rPr>
              <w:t>Use existing recommendation, return-for-revision, approval and audit patterns.</w:t>
            </w:r>
          </w:p>
        </w:tc>
      </w:tr>
      <w:tr>
        <w:tc>
          <w:tcPr>
            <w:tcW w:type="dxa" w:w="3427"/>
            <w:vAlign w:val="center"/>
            <w:shd w:fill="F2F6FA"/>
          </w:tcPr>
          <w:p>
            <w:r>
              <w:t>Monitor / Vendor 360</w:t>
            </w:r>
          </w:p>
        </w:tc>
        <w:tc>
          <w:tcPr>
            <w:tcW w:type="dxa" w:w="3427"/>
            <w:vAlign w:val="center"/>
            <w:shd w:fill="F2F6FA"/>
          </w:tcPr>
          <w:p>
            <w:r>
              <w:rPr>
                <w:sz w:val="18"/>
              </w:rPr>
              <w:t>Add</w:t>
            </w:r>
          </w:p>
        </w:tc>
        <w:tc>
          <w:tcPr>
            <w:tcW w:type="dxa" w:w="3427"/>
            <w:vAlign w:val="center"/>
            <w:shd w:fill="F2F6FA"/>
          </w:tcPr>
          <w:p>
            <w:r>
              <w:rPr>
                <w:sz w:val="18"/>
              </w:rPr>
              <w:t>New view using the Future Energy design system for relationship, sourcing, contract, operational and score evidence.</w:t>
            </w:r>
          </w:p>
        </w:tc>
      </w:tr>
      <w:tr>
        <w:tc>
          <w:tcPr>
            <w:tcW w:type="dxa" w:w="3427"/>
            <w:vAlign w:val="center"/>
          </w:tcPr>
          <w:p>
            <w:r>
              <w:t>Monitor / Performance Management</w:t>
            </w:r>
          </w:p>
        </w:tc>
        <w:tc>
          <w:tcPr>
            <w:tcW w:type="dxa" w:w="3427"/>
            <w:vAlign w:val="center"/>
          </w:tcPr>
          <w:p>
            <w:r>
              <w:rPr>
                <w:sz w:val="18"/>
              </w:rPr>
              <w:t>Add</w:t>
            </w:r>
          </w:p>
        </w:tc>
        <w:tc>
          <w:tcPr>
            <w:tcW w:type="dxa" w:w="3427"/>
            <w:vAlign w:val="center"/>
          </w:tcPr>
          <w:p>
            <w:r>
              <w:rPr>
                <w:sz w:val="18"/>
              </w:rPr>
              <w:t>New view using the same action/evidence patterns for SLA monitoring, trend explanation and corrective action.</w:t>
            </w:r>
          </w:p>
        </w:tc>
      </w:tr>
      <w:tr>
        <w:tc>
          <w:tcPr>
            <w:tcW w:type="dxa" w:w="3427"/>
            <w:vAlign w:val="center"/>
            <w:shd w:fill="F2F6FA"/>
          </w:tcPr>
          <w:p>
            <w:r>
              <w:t>Lifecycle board and locked cards</w:t>
            </w:r>
          </w:p>
        </w:tc>
        <w:tc>
          <w:tcPr>
            <w:tcW w:type="dxa" w:w="3427"/>
            <w:vAlign w:val="center"/>
            <w:shd w:fill="F2F6FA"/>
          </w:tcPr>
          <w:p>
            <w:r>
              <w:rPr>
                <w:sz w:val="18"/>
              </w:rPr>
              <w:t>Do not build</w:t>
            </w:r>
          </w:p>
        </w:tc>
        <w:tc>
          <w:tcPr>
            <w:tcW w:type="dxa" w:w="3427"/>
            <w:vAlign w:val="center"/>
            <w:shd w:fill="F2F6FA"/>
          </w:tcPr>
          <w:p>
            <w:r>
              <w:rPr>
                <w:sz w:val="18"/>
              </w:rPr>
              <w:t>The screen shown in the initial logistics build is not a product requirement.</w:t>
            </w:r>
          </w:p>
        </w:tc>
      </w:tr>
      <w:tr>
        <w:tc>
          <w:tcPr>
            <w:tcW w:type="dxa" w:w="3427"/>
            <w:vAlign w:val="center"/>
          </w:tcPr>
          <w:p>
            <w:r>
              <w:t>Replay controls</w:t>
            </w:r>
          </w:p>
        </w:tc>
        <w:tc>
          <w:tcPr>
            <w:tcW w:type="dxa" w:w="3427"/>
            <w:vAlign w:val="center"/>
          </w:tcPr>
          <w:p>
            <w:r>
              <w:rPr>
                <w:sz w:val="18"/>
              </w:rPr>
              <w:t>Internal only</w:t>
            </w:r>
          </w:p>
        </w:tc>
        <w:tc>
          <w:tcPr>
            <w:tcW w:type="dxa" w:w="3427"/>
            <w:vAlign w:val="center"/>
          </w:tcPr>
          <w:p>
            <w:r>
              <w:rPr>
                <w:sz w:val="18"/>
              </w:rPr>
              <w:t>Checkpoint and evidence-loading controls live outside the customer-facing interface.</w:t>
            </w:r>
          </w:p>
        </w:tc>
      </w:tr>
    </w:tbl>
    <w:p>
      <w:r>
        <w:t>Demonstrate how Compass can connect logistics-services sourcing, supplier communications, bid evaluation, award governance and vendor performance in one explainable lifecycle. The prototype must show that award commitments become a measurable performance baseline, verified execution becomes vendor history, and that history informs later actions and renewal decisions—while human users retain authority over consequential actions.</w:t>
      </w:r>
    </w:p>
    <w:p>
      <w:pPr>
        <w:pStyle w:val="Heading1"/>
      </w:pPr>
      <w:r>
        <w:t>Product principles and prototype boundaries</w:t>
      </w:r>
    </w:p>
    <w:p>
      <w:pPr>
        <w:pStyle w:val="ListBullet"/>
      </w:pPr>
      <w:r>
        <w:t>Closed loop: contract award starts performance management; it does not end the procurement workflow.</w:t>
      </w:r>
    </w:p>
    <w:p>
      <w:pPr>
        <w:pStyle w:val="ListBullet"/>
      </w:pPr>
      <w:r>
        <w:t>Evidence before inference: every material value, classification, score and recommendation exposes source, transformation, timestamp, assumptions and uncertainty.</w:t>
      </w:r>
    </w:p>
    <w:p>
      <w:pPr>
        <w:pStyle w:val="ListBullet"/>
      </w:pPr>
      <w:r>
        <w:t>Human authority: supplier sends, evaluation approval, award recording, overrides, corrective actions and external commitments require explicit authorised user action.</w:t>
      </w:r>
    </w:p>
    <w:p>
      <w:pPr>
        <w:pStyle w:val="ListBullet"/>
      </w:pPr>
      <w:r>
        <w:t>No invented history: a challenger without verified internal performance evidence is shown as No History and is neither imputed nor automatically penalized.</w:t>
      </w:r>
    </w:p>
    <w:p>
      <w:pPr>
        <w:pStyle w:val="ListBullet"/>
      </w:pPr>
      <w:r>
        <w:t>Controlled communications: only authorised mailbox scope is accessed; uncertain email evidence is quarantined from decisions until a reviewer confirms it.</w:t>
      </w:r>
    </w:p>
    <w:p>
      <w:pPr>
        <w:pStyle w:val="ListBullet"/>
      </w:pPr>
      <w:r>
        <w:t>Limited prototype: the experience uses synthetic/static feeds and does not replace ERP, TMS, CLM, AP, vendor-master or enterprise email systems.</w:t>
      </w:r>
    </w:p>
    <w:p>
      <w:pPr>
        <w:pStyle w:val="Heading1"/>
        <w:pageBreakBefore/>
      </w:pPr>
      <w:r>
        <w:t>Stateful prototype behaviour</w:t>
      </w:r>
    </w:p>
    <w:p>
      <w:r>
        <w:t>The prototype begins before the sourcing outcome is known. User decisions persist and change the next available action, eligible evidence, calculation, recommendation or workflow state. Synthetic evidence is released in controlled stages so the user progresses the scenario rather than viewing a completed result.</w:t>
      </w:r>
    </w:p>
    <w:tbl>
      <w:tblPr>
        <w:tblStyle w:val="TableGrid"/>
        <w:tblW w:type="auto" w:w="0"/>
        <w:tblLook w:firstColumn="1" w:firstRow="1" w:lastColumn="0" w:lastRow="0" w:noHBand="0" w:noVBand="1" w:val="04A0"/>
      </w:tblPr>
      <w:tblGrid>
        <w:gridCol w:w="3427"/>
        <w:gridCol w:w="3427"/>
        <w:gridCol w:w="3427"/>
      </w:tblGrid>
      <w:tr>
        <w:tc>
          <w:tcPr>
            <w:tcW w:type="dxa" w:w="3427"/>
            <w:shd w:fill="17365D"/>
          </w:tcPr>
          <w:p>
            <w:r>
              <w:t>Internal replay checkpoint</w:t>
            </w:r>
          </w:p>
        </w:tc>
        <w:tc>
          <w:tcPr>
            <w:tcW w:type="dxa" w:w="3427"/>
            <w:shd w:fill="17365D"/>
          </w:tcPr>
          <w:p>
            <w:r>
              <w:t>Prerequisite business action and fixture input</w:t>
            </w:r>
          </w:p>
        </w:tc>
        <w:tc>
          <w:tcPr>
            <w:tcW w:type="dxa" w:w="3427"/>
            <w:shd w:fill="17365D"/>
          </w:tcPr>
          <w:p>
            <w:r>
              <w:t>Expected product consequence</w:t>
            </w:r>
          </w:p>
        </w:tc>
      </w:tr>
      <w:tr>
        <w:trPr>
          <w:cantSplit/>
        </w:trPr>
        <w:tc>
          <w:tcPr>
            <w:tcW w:type="dxa" w:w="3427"/>
            <w:shd w:fill="EAF2F8"/>
          </w:tcPr>
          <w:p>
            <w:r>
              <w:t>Understand</w:t>
            </w:r>
          </w:p>
        </w:tc>
        <w:tc>
          <w:tcPr>
            <w:tcW w:type="dxa" w:w="3427"/>
          </w:tcPr>
          <w:p>
            <w:r>
              <w:t>Existing contract, incumbent history and an Action Centre trigger. User accepts or rejects the sourcing recommendation.</w:t>
            </w:r>
          </w:p>
        </w:tc>
        <w:tc>
          <w:tcPr>
            <w:tcW w:type="dxa" w:w="3427"/>
          </w:tcPr>
          <w:p>
            <w:r>
              <w:t>An accepted recommendation creates the governed sourcing event; rejection leaves no downstream event.</w:t>
            </w:r>
          </w:p>
        </w:tc>
      </w:tr>
      <w:tr>
        <w:trPr>
          <w:cantSplit/>
        </w:trPr>
        <w:tc>
          <w:tcPr>
            <w:tcW w:type="dxa" w:w="3427"/>
            <w:shd w:fill="EAF2F8"/>
          </w:tcPr>
          <w:p>
            <w:r>
              <w:t>Specify</w:t>
            </w:r>
          </w:p>
        </w:tc>
        <w:tc>
          <w:tcPr>
            <w:tcW w:type="dxa" w:w="3427"/>
          </w:tcPr>
          <w:p>
            <w:r>
              <w:t>Partial lane, volume, SLA and commercial inputs. User resolves gaps and approves or locks the package and criteria.</w:t>
            </w:r>
          </w:p>
        </w:tc>
        <w:tc>
          <w:tcPr>
            <w:tcW w:type="dxa" w:w="3427"/>
          </w:tcPr>
          <w:p>
            <w:r>
              <w:t>Completeness changes, the RFP/ITT version is locked and supplier invitation becomes available.</w:t>
            </w:r>
          </w:p>
        </w:tc>
      </w:tr>
      <w:tr>
        <w:trPr>
          <w:cantSplit/>
        </w:trPr>
        <w:tc>
          <w:tcPr>
            <w:tcW w:type="dxa" w:w="3427"/>
            <w:shd w:fill="EAF2F8"/>
          </w:tcPr>
          <w:p>
            <w:r>
              <w:t>Validate supplier invitation</w:t>
            </w:r>
          </w:p>
        </w:tc>
        <w:tc>
          <w:tcPr>
            <w:tcW w:type="dxa" w:w="3427"/>
          </w:tcPr>
          <w:p>
            <w:r>
              <w:t>Approved event and selected suppliers. User selects British English or German, approves invitation drafts, then the internal test operator loads the controlled supplier-response fixture.</w:t>
            </w:r>
          </w:p>
        </w:tc>
        <w:tc>
          <w:tcPr>
            <w:tcW w:type="dxa" w:w="3427"/>
          </w:tcPr>
          <w:p>
            <w:r>
              <w:t>Messages and initial proposal attachments in English and German appear in the demonstration inbox with their source language recorded.</w:t>
            </w:r>
          </w:p>
        </w:tc>
      </w:tr>
      <w:tr>
        <w:trPr>
          <w:cantSplit/>
        </w:trPr>
        <w:tc>
          <w:tcPr>
            <w:tcW w:type="dxa" w:w="3427"/>
            <w:shd w:fill="EAF2F8"/>
          </w:tcPr>
          <w:p>
            <w:r>
              <w:t>Validate supplier evidence</w:t>
            </w:r>
          </w:p>
        </w:tc>
        <w:tc>
          <w:tcPr>
            <w:tcW w:type="dxa" w:w="3427"/>
          </w:tcPr>
          <w:p>
            <w:r>
              <w:t>Relevant, irrelevant and ambiguous messages plus a revised rate card. User confirms the ambiguous item and attachment association.</w:t>
            </w:r>
          </w:p>
        </w:tc>
        <w:tc>
          <w:tcPr>
            <w:tcW w:type="dxa" w:w="3427"/>
          </w:tcPr>
          <w:p>
            <w:r>
              <w:t>Only confirmed evidence becomes eligible; the revised rate card becomes the current version without deleting the original.</w:t>
            </w:r>
          </w:p>
        </w:tc>
      </w:tr>
      <w:tr>
        <w:trPr>
          <w:cantSplit/>
        </w:trPr>
        <w:tc>
          <w:tcPr>
            <w:tcW w:type="dxa" w:w="3427"/>
            <w:shd w:fill="EAF2F8"/>
          </w:tcPr>
          <w:p>
            <w:r>
              <w:t>Score</w:t>
            </w:r>
          </w:p>
        </w:tc>
        <w:tc>
          <w:tcPr>
            <w:tcW w:type="dxa" w:w="3427"/>
          </w:tcPr>
          <w:p>
            <w:r>
              <w:t>Three comparable proposals, one incomplete/non-compliant response and approved criteria. User changes an allowed scenario input and selects an award scenario.</w:t>
            </w:r>
          </w:p>
        </w:tc>
        <w:tc>
          <w:tcPr>
            <w:tcW w:type="dxa" w:w="3427"/>
          </w:tcPr>
          <w:p>
            <w:r>
              <w:t>Scores, trade-offs and recommendation recalculate; approval or return-for-revision becomes available.</w:t>
            </w:r>
          </w:p>
        </w:tc>
      </w:tr>
      <w:tr>
        <w:trPr>
          <w:cantSplit/>
        </w:trPr>
        <w:tc>
          <w:tcPr>
            <w:tcW w:type="dxa" w:w="3427"/>
            <w:shd w:fill="EAF2F8"/>
          </w:tcPr>
          <w:p>
            <w:r>
              <w:t>Award</w:t>
            </w:r>
          </w:p>
        </w:tc>
        <w:tc>
          <w:tcPr>
            <w:tcW w:type="dxa" w:w="3427"/>
          </w:tcPr>
          <w:p>
            <w:r>
              <w:t>Approved award. User approves the award, then advances to a labelled execution period.</w:t>
            </w:r>
          </w:p>
        </w:tc>
        <w:tc>
          <w:tcPr>
            <w:tcW w:type="dxa" w:w="3427"/>
          </w:tcPr>
          <w:p>
            <w:r>
              <w:t>Award commitments become the baseline; staged shipment, invoice, claim and performance evidence is released.</w:t>
            </w:r>
          </w:p>
        </w:tc>
      </w:tr>
      <w:tr>
        <w:trPr>
          <w:cantSplit/>
        </w:trPr>
        <w:tc>
          <w:tcPr>
            <w:tcW w:type="dxa" w:w="3427"/>
            <w:shd w:fill="EAF2F8"/>
          </w:tcPr>
          <w:p>
            <w:r>
              <w:t>Monitor</w:t>
            </w:r>
          </w:p>
        </w:tc>
        <w:tc>
          <w:tcPr>
            <w:tcW w:type="dxa" w:w="3427"/>
          </w:tcPr>
          <w:p>
            <w:r>
              <w:t>Detected variance and performance evidence. User accepts/assigns a corrective action and approves the supplier draft.</w:t>
            </w:r>
          </w:p>
        </w:tc>
        <w:tc>
          <w:tcPr>
            <w:tcW w:type="dxa" w:w="3427"/>
          </w:tcPr>
          <w:p>
            <w:r>
              <w:t>Action status and communication join Vendor 360; renewal uses the verified history.</w:t>
            </w:r>
          </w:p>
        </w:tc>
      </w:tr>
      <w:tr>
        <w:trPr>
          <w:cantSplit/>
        </w:trPr>
        <w:tc>
          <w:tcPr>
            <w:tcW w:type="dxa" w:w="3427"/>
            <w:shd w:fill="EAF2F8"/>
          </w:tcPr>
          <w:p>
            <w:r>
              <w:t>Act</w:t>
            </w:r>
          </w:p>
        </w:tc>
        <w:tc>
          <w:tcPr>
            <w:tcW w:type="dxa" w:w="3427"/>
          </w:tcPr>
          <w:p>
            <w:r>
              <w:t>Completed or checkpointed scenario. User resets or restores the defined checkpoint.</w:t>
            </w:r>
          </w:p>
        </w:tc>
        <w:tc>
          <w:tcPr>
            <w:tcW w:type="dxa" w:w="3427"/>
          </w:tcPr>
          <w:p>
            <w:r>
              <w:t>The prototype returns to the configured state and can reproduce the same transitions from the same actions.</w:t>
            </w:r>
          </w:p>
        </w:tc>
      </w:tr>
    </w:tbl>
    <w:p>
      <w:r>
        <w:t>Bilingual operation: British English is the default interface and authoring language. German may be selected for defined screens, generated sourcing content and supplier communications. Original-language evidence remains authoritative and translations are clearly labelled.</w:t>
      </w:r>
    </w:p>
    <w:p>
      <w:pPr>
        <w:pStyle w:val="Heading1"/>
      </w:pPr>
      <w:r>
        <w:t>Priority use cases</w:t>
      </w:r>
    </w:p>
    <w:p>
      <w:r>
        <w:t>The use cases follow the end-to-end demonstration path in BRD v0.4. Vendor 360, the Action Centre, evidence lineage and configurable governance are cross-cutting product surfaces rather than isolated destinations.</w:t>
      </w:r>
    </w:p>
    <w:p>
      <w:pPr>
        <w:pStyle w:val="Heading1"/>
      </w:pPr>
      <w:r>
        <w:t>1. Understand the Sourcing Need</w:t>
      </w:r>
    </w:p>
    <w:p>
      <w:pPr>
        <w:keepNext/>
        <w:spacing w:after="80"/>
      </w:pPr>
      <w:r>
        <w:rPr>
          <w:i/>
          <w:color w:val="1F2933"/>
        </w:rPr>
        <w:t>As a Procurement / Category Manager, I want Compass to surface and validate a logistics sourcing need so I can decide whether to proceed, combine demand or use an existing arrangement.</w:t>
      </w:r>
    </w:p>
    <w:p>
      <w:pPr>
        <w:keepNext/>
        <w:spacing w:after="140"/>
      </w:pPr>
      <w:r>
        <w:rPr>
          <w:b/>
        </w:rPr>
        <w:t xml:space="preserve">BRD basis: </w:t>
      </w:r>
      <w:r>
        <w:t>Sections 2, 3, 6, 7 (FR-01 to FR-03), 10, 12, 13 and 15; AC-01, AC-02 and AC-12.</w:t>
      </w:r>
    </w:p>
    <w:tbl>
      <w:tblPr>
        <w:tblW w:type="auto" w:w="0"/>
        <w:jc w:val="center"/>
        <w:tblLayout w:type="fixed"/>
        <w:tblLook w:firstColumn="1" w:firstRow="1" w:lastColumn="0" w:lastRow="0" w:noHBand="0" w:noVBand="1" w:val="04A0"/>
        <w:tblBorders>
          <w:top w:val="single" w:sz="4" w:color="B8C7D9"/>
          <w:left w:val="single" w:sz="4" w:color="B8C7D9"/>
          <w:bottom w:val="single" w:sz="4" w:color="B8C7D9"/>
          <w:right w:val="single" w:sz="4" w:color="B8C7D9"/>
          <w:insideH w:val="single" w:sz="4" w:color="B8C7D9"/>
          <w:insideV w:val="single" w:sz="4" w:color="B8C7D9"/>
        </w:tblBorders>
      </w:tblPr>
      <w:tblGrid>
        <w:gridCol w:w="2477"/>
        <w:gridCol w:w="8323"/>
      </w:tblGrid>
      <w:tr>
        <w:trPr>
          <w:cantSplit/>
        </w:trPr>
        <w:tc>
          <w:tcPr>
            <w:tcW w:type="dxa" w:w="2477"/>
            <w:tcMar>
              <w:top w:w="90" w:type="dxa"/>
              <w:start w:w="110" w:type="dxa"/>
              <w:bottom w:w="90" w:type="dxa"/>
              <w:end w:w="110" w:type="dxa"/>
            </w:tcMar>
            <w:vAlign w:val="top"/>
            <w:shd w:fill="17365D"/>
          </w:tcPr>
          <w:p>
            <w:pPr>
              <w:spacing w:after="40" w:line="240" w:lineRule="auto"/>
            </w:pPr>
            <w:r>
              <w:rPr>
                <w:rFonts w:ascii="Aptos" w:hAnsi="Aptos"/>
                <w:b/>
                <w:color w:val="FFFFFF"/>
                <w:sz w:val="16"/>
              </w:rPr>
              <w:t>Persona &amp; Decision</w:t>
            </w:r>
          </w:p>
        </w:tc>
        <w:tc>
          <w:tcPr>
            <w:tcW w:type="dxa" w:w="8323"/>
            <w:tcMar>
              <w:top w:w="90" w:type="dxa"/>
              <w:start w:w="110" w:type="dxa"/>
              <w:bottom w:w="90" w:type="dxa"/>
              <w:end w:w="110" w:type="dxa"/>
            </w:tcMar>
            <w:vAlign w:val="top"/>
          </w:tcPr>
          <w:p>
            <w:pPr>
              <w:spacing w:after="40" w:line="240" w:lineRule="auto"/>
            </w:pPr>
            <w:r>
              <w:rPr>
                <w:rFonts w:ascii="Aptos" w:hAnsi="Aptos"/>
                <w:sz w:val="16"/>
              </w:rPr>
              <w:t>Procurement / Category Manager, with Logistics and Finance input. Decide whether a sourcing event is necessary, sufficiently supported and appropriately scoped.</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Metrics &amp; Data</w:t>
            </w:r>
          </w:p>
        </w:tc>
        <w:tc>
          <w:tcPr>
            <w:tcW w:type="dxa" w:w="8323"/>
            <w:tcMar>
              <w:top w:w="90" w:type="dxa"/>
              <w:start w:w="110" w:type="dxa"/>
              <w:bottom w:w="90" w:type="dxa"/>
              <w:end w:w="110" w:type="dxa"/>
            </w:tcMar>
            <w:vAlign w:val="top"/>
          </w:tcPr>
          <w:p>
            <w:pPr>
              <w:pStyle w:val="ListBullet"/>
              <w:spacing w:after="40" w:line="240" w:lineRule="auto"/>
            </w:pPr>
            <w:r>
              <w:rPr>
                <w:rFonts w:ascii="Aptos" w:hAnsi="Aptos"/>
                <w:sz w:val="16"/>
              </w:rPr>
              <w:t>Contract expiry and renewal terms; incumbent arrangement and current scope.</w:t>
            </w:r>
          </w:p>
          <w:p>
            <w:pPr>
              <w:pStyle w:val="ListBullet"/>
              <w:spacing w:after="40" w:line="240" w:lineRule="auto"/>
            </w:pPr>
            <w:r>
              <w:rPr>
                <w:rFonts w:ascii="Aptos" w:hAnsi="Aptos"/>
                <w:sz w:val="16"/>
              </w:rPr>
              <w:t>Historical spend and invoices; representative lanes, volumes, service types and currencies.</w:t>
            </w:r>
          </w:p>
          <w:p>
            <w:pPr>
              <w:pStyle w:val="ListBullet"/>
              <w:spacing w:after="40" w:line="240" w:lineRule="auto"/>
            </w:pPr>
            <w:r>
              <w:rPr>
                <w:rFonts w:ascii="Aptos" w:hAnsi="Aptos"/>
                <w:sz w:val="16"/>
              </w:rPr>
              <w:t>Vendor-performance trend, incidents, commercial exceptions and corrective actions.</w:t>
            </w:r>
          </w:p>
          <w:p>
            <w:pPr>
              <w:pStyle w:val="ListBullet"/>
              <w:spacing w:after="40" w:line="240" w:lineRule="auto"/>
            </w:pPr>
            <w:r>
              <w:rPr>
                <w:rFonts w:ascii="Aptos" w:hAnsi="Aptos"/>
                <w:sz w:val="16"/>
              </w:rPr>
              <w:t>Policy threshold, overlapping demand and aggregation opportunity where supplied.</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Trend / Change</w:t>
            </w:r>
          </w:p>
        </w:tc>
        <w:tc>
          <w:tcPr>
            <w:tcW w:type="dxa" w:w="8323"/>
            <w:tcMar>
              <w:top w:w="90" w:type="dxa"/>
              <w:start w:w="110" w:type="dxa"/>
              <w:bottom w:w="90" w:type="dxa"/>
              <w:end w:w="110" w:type="dxa"/>
            </w:tcMar>
            <w:vAlign w:val="top"/>
          </w:tcPr>
          <w:p>
            <w:pPr>
              <w:pStyle w:val="ListBullet"/>
              <w:spacing w:after="40" w:line="240" w:lineRule="auto"/>
            </w:pPr>
            <w:r>
              <w:rPr>
                <w:rFonts w:ascii="Aptos" w:hAnsi="Aptos"/>
                <w:sz w:val="16"/>
              </w:rPr>
              <w:t>Time to expiry; performance deterioration; rate or invoice exception; capacity or claims issue.</w:t>
            </w:r>
          </w:p>
          <w:p>
            <w:pPr>
              <w:pStyle w:val="ListBullet"/>
              <w:spacing w:after="40" w:line="240" w:lineRule="auto"/>
            </w:pPr>
            <w:r>
              <w:rPr>
                <w:rFonts w:ascii="Aptos" w:hAnsi="Aptos"/>
                <w:sz w:val="16"/>
              </w:rPr>
              <w:t>User-raised requirement or evidence of fragmented/overlapping demand.</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Drivers &amp; Evidence</w:t>
            </w:r>
          </w:p>
        </w:tc>
        <w:tc>
          <w:tcPr>
            <w:tcW w:type="dxa" w:w="8323"/>
            <w:tcMar>
              <w:top w:w="90" w:type="dxa"/>
              <w:start w:w="110" w:type="dxa"/>
              <w:bottom w:w="90" w:type="dxa"/>
              <w:end w:w="110" w:type="dxa"/>
            </w:tcMar>
            <w:vAlign w:val="top"/>
          </w:tcPr>
          <w:p>
            <w:pPr>
              <w:pStyle w:val="ListBullet"/>
              <w:spacing w:after="40" w:line="240" w:lineRule="auto"/>
            </w:pPr>
            <w:r>
              <w:rPr>
                <w:rFonts w:ascii="Aptos" w:hAnsi="Aptos"/>
                <w:sz w:val="16"/>
              </w:rPr>
              <w:t>Action card states trigger, baseline, affected scope, period, rationale, evidence and potential impact.</w:t>
            </w:r>
          </w:p>
          <w:p>
            <w:pPr>
              <w:pStyle w:val="ListBullet"/>
              <w:spacing w:after="40" w:line="240" w:lineRule="auto"/>
            </w:pPr>
            <w:r>
              <w:rPr>
                <w:rFonts w:ascii="Aptos" w:hAnsi="Aptos"/>
                <w:sz w:val="16"/>
              </w:rPr>
              <w:t>Missing, stale, conflicting or insufficient inputs are visible; synthetic values are labelled.</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Qualification</w:t>
            </w:r>
          </w:p>
        </w:tc>
        <w:tc>
          <w:tcPr>
            <w:tcW w:type="dxa" w:w="8323"/>
            <w:tcMar>
              <w:top w:w="90" w:type="dxa"/>
              <w:start w:w="110" w:type="dxa"/>
              <w:bottom w:w="90" w:type="dxa"/>
              <w:end w:w="110" w:type="dxa"/>
            </w:tcMar>
            <w:vAlign w:val="top"/>
          </w:tcPr>
          <w:p>
            <w:pPr>
              <w:spacing w:after="40" w:line="240" w:lineRule="auto"/>
            </w:pPr>
            <w:r>
              <w:rPr>
                <w:rFonts w:ascii="Aptos" w:hAnsi="Aptos"/>
                <w:sz w:val="16"/>
              </w:rPr>
              <w:t>A detected signal becomes a sourcing candidate, not an approved event. Demand validation checks existing coverage, incumbent arrangements, overlap, policy and aggregation opportunity before proceeding.</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Action</w:t>
            </w:r>
          </w:p>
        </w:tc>
        <w:tc>
          <w:tcPr>
            <w:tcW w:type="dxa" w:w="8323"/>
            <w:tcMar>
              <w:top w:w="90" w:type="dxa"/>
              <w:start w:w="110" w:type="dxa"/>
              <w:bottom w:w="90" w:type="dxa"/>
              <w:end w:w="110" w:type="dxa"/>
            </w:tcMar>
            <w:vAlign w:val="top"/>
          </w:tcPr>
          <w:p>
            <w:pPr>
              <w:spacing w:after="40" w:line="240" w:lineRule="auto"/>
            </w:pPr>
            <w:r>
              <w:rPr>
                <w:rFonts w:ascii="Aptos" w:hAnsi="Aptos"/>
                <w:sz w:val="16"/>
              </w:rPr>
              <w:t>Open the pre-populated sourcing workspace, request missing evidence, combine demand where supported, or record the user decision not to source.</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Expected Impact / Exposure</w:t>
            </w:r>
          </w:p>
        </w:tc>
        <w:tc>
          <w:tcPr>
            <w:tcW w:type="dxa" w:w="8323"/>
            <w:tcMar>
              <w:top w:w="90" w:type="dxa"/>
              <w:start w:w="110" w:type="dxa"/>
              <w:bottom w:w="90" w:type="dxa"/>
              <w:end w:w="110" w:type="dxa"/>
            </w:tcMar>
            <w:vAlign w:val="top"/>
          </w:tcPr>
          <w:p>
            <w:pPr>
              <w:spacing w:after="40" w:line="240" w:lineRule="auto"/>
            </w:pPr>
            <w:r>
              <w:rPr>
                <w:rFonts w:ascii="Aptos" w:hAnsi="Aptos"/>
                <w:sz w:val="16"/>
              </w:rPr>
              <w:t>Show spend, contract, service or operational exposure only when supported. Do not invent savings, probability or outcome.</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Confidence &amp; Gaps</w:t>
            </w:r>
          </w:p>
        </w:tc>
        <w:tc>
          <w:tcPr>
            <w:tcW w:type="dxa" w:w="8323"/>
            <w:tcMar>
              <w:top w:w="90" w:type="dxa"/>
              <w:start w:w="110" w:type="dxa"/>
              <w:bottom w:w="90" w:type="dxa"/>
              <w:end w:w="110" w:type="dxa"/>
            </w:tcMar>
            <w:vAlign w:val="top"/>
          </w:tcPr>
          <w:p>
            <w:pPr>
              <w:spacing w:after="40" w:line="240" w:lineRule="auto"/>
            </w:pPr>
            <w:r>
              <w:rPr>
                <w:rFonts w:ascii="Aptos" w:hAnsi="Aptos"/>
                <w:sz w:val="16"/>
              </w:rPr>
              <w:t>Confidence reflects evidence coverage, recency, consistency and match quality. Unknowns remain explicit.</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User Control</w:t>
            </w:r>
          </w:p>
        </w:tc>
        <w:tc>
          <w:tcPr>
            <w:tcW w:type="dxa" w:w="8323"/>
            <w:tcMar>
              <w:top w:w="90" w:type="dxa"/>
              <w:start w:w="110" w:type="dxa"/>
              <w:bottom w:w="90" w:type="dxa"/>
              <w:end w:w="110" w:type="dxa"/>
            </w:tcMar>
            <w:vAlign w:val="top"/>
          </w:tcPr>
          <w:p>
            <w:pPr>
              <w:spacing w:after="40" w:line="240" w:lineRule="auto"/>
            </w:pPr>
            <w:r>
              <w:rPr>
                <w:rFonts w:ascii="Aptos" w:hAnsi="Aptos"/>
                <w:sz w:val="16"/>
              </w:rPr>
              <w:t>User accepts, edits, dismisses or assigns the suggested action. Accepted actions require owner, due date and status.</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Lifecycle Effect</w:t>
            </w:r>
          </w:p>
        </w:tc>
        <w:tc>
          <w:tcPr>
            <w:tcW w:type="dxa" w:w="8323"/>
            <w:tcMar>
              <w:top w:w="90" w:type="dxa"/>
              <w:start w:w="110" w:type="dxa"/>
              <w:bottom w:w="90" w:type="dxa"/>
              <w:end w:w="110" w:type="dxa"/>
            </w:tcMar>
            <w:vAlign w:val="top"/>
          </w:tcPr>
          <w:p>
            <w:pPr>
              <w:spacing w:after="40" w:line="240" w:lineRule="auto"/>
            </w:pPr>
            <w:r>
              <w:rPr>
                <w:rFonts w:ascii="Aptos" w:hAnsi="Aptos"/>
                <w:sz w:val="16"/>
              </w:rPr>
              <w:t>An accepted sourcing need creates a governed event and retains its origin, evidence and validation outcome.</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Evidence &amp; Traceability</w:t>
            </w:r>
          </w:p>
        </w:tc>
        <w:tc>
          <w:tcPr>
            <w:tcW w:type="dxa" w:w="8323"/>
            <w:tcMar>
              <w:top w:w="90" w:type="dxa"/>
              <w:start w:w="110" w:type="dxa"/>
              <w:bottom w:w="90" w:type="dxa"/>
              <w:end w:w="110" w:type="dxa"/>
            </w:tcMar>
            <w:vAlign w:val="top"/>
          </w:tcPr>
          <w:p>
            <w:pPr>
              <w:spacing w:after="40" w:line="240" w:lineRule="auto"/>
            </w:pPr>
            <w:r>
              <w:rPr>
                <w:rFonts w:ascii="Aptos" w:hAnsi="Aptos"/>
                <w:sz w:val="16"/>
              </w:rPr>
              <w:t>Retain trigger, sources, rules, timestamps, user decisions, overrides and reasons.</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Acceptance Criteria</w:t>
            </w:r>
          </w:p>
        </w:tc>
        <w:tc>
          <w:tcPr>
            <w:tcW w:type="dxa" w:w="8323"/>
            <w:tcMar>
              <w:top w:w="90" w:type="dxa"/>
              <w:start w:w="110" w:type="dxa"/>
              <w:bottom w:w="90" w:type="dxa"/>
              <w:end w:w="110" w:type="dxa"/>
            </w:tcMar>
            <w:vAlign w:val="top"/>
          </w:tcPr>
          <w:p>
            <w:pPr>
              <w:pStyle w:val="ListBullet"/>
              <w:spacing w:after="40" w:line="240" w:lineRule="auto"/>
            </w:pPr>
            <w:r>
              <w:rPr>
                <w:rFonts w:ascii="Aptos" w:hAnsi="Aptos"/>
                <w:sz w:val="16"/>
              </w:rPr>
              <w:t>Action Centre shows at least one expiry and/or deteriorating-performance trigger.</w:t>
            </w:r>
          </w:p>
          <w:p>
            <w:pPr>
              <w:pStyle w:val="ListBullet"/>
              <w:spacing w:after="40" w:line="240" w:lineRule="auto"/>
            </w:pPr>
            <w:r>
              <w:rPr>
                <w:rFonts w:ascii="Aptos" w:hAnsi="Aptos"/>
                <w:sz w:val="16"/>
              </w:rPr>
              <w:t>Reviewer can trace the event from need through later award, monitoring and renewal.</w:t>
            </w:r>
          </w:p>
          <w:p>
            <w:pPr>
              <w:pStyle w:val="ListBullet"/>
              <w:spacing w:after="40" w:line="240" w:lineRule="auto"/>
            </w:pPr>
            <w:r>
              <w:rPr>
                <w:rFonts w:ascii="Aptos" w:hAnsi="Aptos"/>
                <w:sz w:val="16"/>
              </w:rPr>
              <w:t>Sourcing package exposes missing lane, volume, service, SLA/KPI, pricing or commercial inputs.</w:t>
            </w:r>
          </w:p>
        </w:tc>
      </w:tr>
    </w:tbl>
    <w:p>
      <w:pPr>
        <w:spacing w:after="20"/>
      </w:pPr>
    </w:p>
    <w:p>
      <w:pPr>
        <w:pStyle w:val="Heading1"/>
      </w:pPr>
      <w:r>
        <w:t>Specify source grounded RFP and ITT generation</w:t>
      </w:r>
    </w:p>
    <w:p>
      <w:r>
        <w:t>The Specify experience must visibly demonstrate that Compass is reading separate evidence and constructing the RFP/ITT. It must not display or copy a pre-written expected-output fixture.</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7"/>
        <w:gridCol w:w="3427"/>
        <w:gridCol w:w="3427"/>
      </w:tblGrid>
      <w:tr>
        <w:tc>
          <w:tcPr>
            <w:tcW w:type="dxa" w:w="3427"/>
            <w:vAlign w:val="center"/>
            <w:shd w:fill="1F4E79"/>
          </w:tcPr>
          <w:p>
            <w:r>
              <w:rPr>
                <w:b/>
                <w:color w:val="FFFFFF"/>
                <w:sz w:val="18"/>
              </w:rPr>
              <w:t>Step</w:t>
            </w:r>
          </w:p>
        </w:tc>
        <w:tc>
          <w:tcPr>
            <w:tcW w:type="dxa" w:w="3427"/>
            <w:vAlign w:val="center"/>
            <w:shd w:fill="1F4E79"/>
          </w:tcPr>
          <w:p>
            <w:r>
              <w:rPr>
                <w:b/>
                <w:color w:val="FFFFFF"/>
                <w:sz w:val="18"/>
              </w:rPr>
              <w:t>Product behaviour</w:t>
            </w:r>
          </w:p>
        </w:tc>
        <w:tc>
          <w:tcPr>
            <w:tcW w:type="dxa" w:w="3427"/>
            <w:vAlign w:val="center"/>
            <w:shd w:fill="1F4E79"/>
          </w:tcPr>
          <w:p>
            <w:r>
              <w:rPr>
                <w:b/>
                <w:color w:val="FFFFFF"/>
                <w:sz w:val="18"/>
              </w:rPr>
              <w:t>Requirement</w:t>
            </w:r>
          </w:p>
        </w:tc>
      </w:tr>
      <w:tr>
        <w:tc>
          <w:tcPr>
            <w:tcW w:type="dxa" w:w="3427"/>
            <w:vAlign w:val="center"/>
          </w:tcPr>
          <w:p>
            <w:r>
              <w:rPr>
                <w:sz w:val="18"/>
              </w:rPr>
              <w:t>1</w:t>
            </w:r>
          </w:p>
        </w:tc>
        <w:tc>
          <w:tcPr>
            <w:tcW w:type="dxa" w:w="3427"/>
            <w:vAlign w:val="center"/>
          </w:tcPr>
          <w:p>
            <w:r>
              <w:rPr>
                <w:sz w:val="18"/>
              </w:rPr>
              <w:t>Ingest and classify source</w:t>
            </w:r>
          </w:p>
        </w:tc>
        <w:tc>
          <w:tcPr>
            <w:tcW w:type="dxa" w:w="3427"/>
            <w:vAlign w:val="center"/>
          </w:tcPr>
          <w:p>
            <w:r>
              <w:rPr>
                <w:sz w:val="18"/>
              </w:rPr>
              <w:t>Read authoritative documents and structured source data; record document ID, title, version, section, language and source class.</w:t>
            </w:r>
          </w:p>
        </w:tc>
      </w:tr>
      <w:tr>
        <w:tc>
          <w:tcPr>
            <w:tcW w:type="dxa" w:w="3427"/>
            <w:vAlign w:val="center"/>
            <w:shd w:fill="F2F6FA"/>
          </w:tcPr>
          <w:p>
            <w:r>
              <w:rPr>
                <w:sz w:val="18"/>
              </w:rPr>
              <w:t>2</w:t>
            </w:r>
          </w:p>
        </w:tc>
        <w:tc>
          <w:tcPr>
            <w:tcW w:type="dxa" w:w="3427"/>
            <w:vAlign w:val="center"/>
            <w:shd w:fill="F2F6FA"/>
          </w:tcPr>
          <w:p>
            <w:r>
              <w:rPr>
                <w:sz w:val="18"/>
              </w:rPr>
              <w:t>Extract requirements</w:t>
            </w:r>
          </w:p>
        </w:tc>
        <w:tc>
          <w:tcPr>
            <w:tcW w:type="dxa" w:w="3427"/>
            <w:vAlign w:val="center"/>
            <w:shd w:fill="F2F6FA"/>
          </w:tcPr>
          <w:p>
            <w:r>
              <w:rPr>
                <w:sz w:val="18"/>
              </w:rPr>
              <w:t>Create a requirement register linking each candidate requirement to its source passage or structured record.</w:t>
            </w:r>
          </w:p>
        </w:tc>
      </w:tr>
      <w:tr>
        <w:tc>
          <w:tcPr>
            <w:tcW w:type="dxa" w:w="3427"/>
            <w:vAlign w:val="center"/>
          </w:tcPr>
          <w:p>
            <w:r>
              <w:rPr>
                <w:sz w:val="18"/>
              </w:rPr>
              <w:t>3</w:t>
            </w:r>
          </w:p>
        </w:tc>
        <w:tc>
          <w:tcPr>
            <w:tcW w:type="dxa" w:w="3427"/>
            <w:vAlign w:val="center"/>
          </w:tcPr>
          <w:p>
            <w:r>
              <w:rPr>
                <w:sz w:val="18"/>
              </w:rPr>
              <w:t>Resolve gaps and conflicts</w:t>
            </w:r>
          </w:p>
        </w:tc>
        <w:tc>
          <w:tcPr>
            <w:tcW w:type="dxa" w:w="3427"/>
            <w:vAlign w:val="center"/>
          </w:tcPr>
          <w:p>
            <w:r>
              <w:rPr>
                <w:sz w:val="18"/>
              </w:rPr>
              <w:t>Show missing, ambiguous and conflicting requirements for human resolution; preserve the decision and rationale.</w:t>
            </w:r>
          </w:p>
        </w:tc>
      </w:tr>
      <w:tr>
        <w:tc>
          <w:tcPr>
            <w:tcW w:type="dxa" w:w="3427"/>
            <w:vAlign w:val="center"/>
            <w:shd w:fill="F2F6FA"/>
          </w:tcPr>
          <w:p>
            <w:r>
              <w:rPr>
                <w:sz w:val="18"/>
              </w:rPr>
              <w:t>4</w:t>
            </w:r>
          </w:p>
        </w:tc>
        <w:tc>
          <w:tcPr>
            <w:tcW w:type="dxa" w:w="3427"/>
            <w:vAlign w:val="center"/>
            <w:shd w:fill="F2F6FA"/>
          </w:tcPr>
          <w:p>
            <w:r>
              <w:rPr>
                <w:sz w:val="18"/>
              </w:rPr>
              <w:t>Approve requirement set</w:t>
            </w:r>
          </w:p>
        </w:tc>
        <w:tc>
          <w:tcPr>
            <w:tcW w:type="dxa" w:w="3427"/>
            <w:vAlign w:val="center"/>
            <w:shd w:fill="F2F6FA"/>
          </w:tcPr>
          <w:p>
            <w:r>
              <w:rPr>
                <w:sz w:val="18"/>
              </w:rPr>
              <w:t>User approves the requirement set and evaluation method before generation.</w:t>
            </w:r>
          </w:p>
        </w:tc>
      </w:tr>
      <w:tr>
        <w:tc>
          <w:tcPr>
            <w:tcW w:type="dxa" w:w="3427"/>
            <w:vAlign w:val="center"/>
          </w:tcPr>
          <w:p>
            <w:r>
              <w:rPr>
                <w:sz w:val="18"/>
              </w:rPr>
              <w:t>5</w:t>
            </w:r>
          </w:p>
        </w:tc>
        <w:tc>
          <w:tcPr>
            <w:tcW w:type="dxa" w:w="3427"/>
            <w:vAlign w:val="center"/>
          </w:tcPr>
          <w:p>
            <w:r>
              <w:rPr>
                <w:sz w:val="18"/>
              </w:rPr>
              <w:t>Generate RFP/ITT</w:t>
            </w:r>
          </w:p>
        </w:tc>
        <w:tc>
          <w:tcPr>
            <w:tcW w:type="dxa" w:w="3427"/>
            <w:vAlign w:val="center"/>
          </w:tcPr>
          <w:p>
            <w:r>
              <w:rPr>
                <w:sz w:val="18"/>
              </w:rPr>
              <w:t>Create the British English draft from approved requirements and structured data; create German output as a linked translation.</w:t>
            </w:r>
          </w:p>
        </w:tc>
      </w:tr>
      <w:tr>
        <w:tc>
          <w:tcPr>
            <w:tcW w:type="dxa" w:w="3427"/>
            <w:vAlign w:val="center"/>
            <w:shd w:fill="F2F6FA"/>
          </w:tcPr>
          <w:p>
            <w:r>
              <w:rPr>
                <w:sz w:val="18"/>
              </w:rPr>
              <w:t>6</w:t>
            </w:r>
          </w:p>
        </w:tc>
        <w:tc>
          <w:tcPr>
            <w:tcW w:type="dxa" w:w="3427"/>
            <w:vAlign w:val="center"/>
            <w:shd w:fill="F2F6FA"/>
          </w:tcPr>
          <w:p>
            <w:r>
              <w:rPr>
                <w:sz w:val="18"/>
              </w:rPr>
              <w:t>Review citations and versions</w:t>
            </w:r>
          </w:p>
        </w:tc>
        <w:tc>
          <w:tcPr>
            <w:tcW w:type="dxa" w:w="3427"/>
            <w:vAlign w:val="center"/>
            <w:shd w:fill="F2F6FA"/>
          </w:tcPr>
          <w:p>
            <w:r>
              <w:rPr>
                <w:sz w:val="18"/>
              </w:rPr>
              <w:t>Allow every material clause to open its supporting evidence; preserve draft, approved and superseded versions.</w:t>
            </w:r>
          </w:p>
        </w:tc>
      </w:tr>
    </w:tbl>
    <w:p>
      <w:pPr>
        <w:pStyle w:val="Heading1"/>
      </w:pPr>
      <w:r>
        <w:t>2. Specify the Sourcing Event</w:t>
      </w:r>
    </w:p>
    <w:p>
      <w:pPr>
        <w:keepNext/>
        <w:spacing w:after="80"/>
      </w:pPr>
      <w:r>
        <w:rPr>
          <w:i/>
          <w:color w:val="1F2933"/>
        </w:rPr>
        <w:t>As a Procurement / Category Manager, I want Compass to turn approved logistics inputs into a complete, governed RFP/ITT so carriers receive clear and consistently evaluated requirements.</w:t>
      </w:r>
    </w:p>
    <w:p>
      <w:pPr>
        <w:keepNext/>
        <w:spacing w:after="140"/>
      </w:pPr>
      <w:r>
        <w:rPr>
          <w:b/>
        </w:rPr>
        <w:t xml:space="preserve">BRD basis: </w:t>
      </w:r>
      <w:r>
        <w:t>Sections 6, 7 (FR-04 to FR-07), 9, 12, 13 and 15; AC-02 and AC-12.</w:t>
      </w:r>
    </w:p>
    <w:tbl>
      <w:tblPr>
        <w:tblW w:type="auto" w:w="0"/>
        <w:jc w:val="center"/>
        <w:tblLayout w:type="fixed"/>
        <w:tblLook w:firstColumn="1" w:firstRow="1" w:lastColumn="0" w:lastRow="0" w:noHBand="0" w:noVBand="1" w:val="04A0"/>
        <w:tblBorders>
          <w:top w:val="single" w:sz="4" w:color="B8C7D9"/>
          <w:left w:val="single" w:sz="4" w:color="B8C7D9"/>
          <w:bottom w:val="single" w:sz="4" w:color="B8C7D9"/>
          <w:right w:val="single" w:sz="4" w:color="B8C7D9"/>
          <w:insideH w:val="single" w:sz="4" w:color="B8C7D9"/>
          <w:insideV w:val="single" w:sz="4" w:color="B8C7D9"/>
        </w:tblBorders>
      </w:tblPr>
      <w:tblGrid>
        <w:gridCol w:w="2477"/>
        <w:gridCol w:w="8323"/>
      </w:tblGrid>
      <w:tr>
        <w:trPr>
          <w:cantSplit/>
        </w:trPr>
        <w:tc>
          <w:tcPr>
            <w:tcW w:type="dxa" w:w="2477"/>
            <w:tcMar>
              <w:top w:w="90" w:type="dxa"/>
              <w:start w:w="110" w:type="dxa"/>
              <w:bottom w:w="90" w:type="dxa"/>
              <w:end w:w="110" w:type="dxa"/>
            </w:tcMar>
            <w:vAlign w:val="top"/>
            <w:shd w:fill="17365D"/>
          </w:tcPr>
          <w:p>
            <w:pPr>
              <w:spacing w:after="40" w:line="240" w:lineRule="auto"/>
            </w:pPr>
            <w:r>
              <w:rPr>
                <w:rFonts w:ascii="Aptos" w:hAnsi="Aptos"/>
                <w:b/>
                <w:color w:val="FFFFFF"/>
                <w:sz w:val="16"/>
              </w:rPr>
              <w:t>Persona &amp; Decision</w:t>
            </w:r>
          </w:p>
        </w:tc>
        <w:tc>
          <w:tcPr>
            <w:tcW w:type="dxa" w:w="8323"/>
            <w:tcMar>
              <w:top w:w="90" w:type="dxa"/>
              <w:start w:w="110" w:type="dxa"/>
              <w:bottom w:w="90" w:type="dxa"/>
              <w:end w:w="110" w:type="dxa"/>
            </w:tcMar>
            <w:vAlign w:val="top"/>
          </w:tcPr>
          <w:p>
            <w:pPr>
              <w:spacing w:after="40" w:line="240" w:lineRule="auto"/>
            </w:pPr>
            <w:r>
              <w:rPr>
                <w:rFonts w:ascii="Aptos" w:hAnsi="Aptos"/>
                <w:sz w:val="16"/>
              </w:rPr>
              <w:t>Procurement / Category Manager with Logistics, Legal/Compliance/Sustainability and Finance. Decide whether the sourcing package and evaluation method are ready for issue.</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Metrics &amp; Data</w:t>
            </w:r>
          </w:p>
        </w:tc>
        <w:tc>
          <w:tcPr>
            <w:tcW w:type="dxa" w:w="8323"/>
            <w:tcMar>
              <w:top w:w="90" w:type="dxa"/>
              <w:start w:w="110" w:type="dxa"/>
              <w:bottom w:w="90" w:type="dxa"/>
              <w:end w:w="110" w:type="dxa"/>
            </w:tcMar>
            <w:vAlign w:val="top"/>
          </w:tcPr>
          <w:p>
            <w:pPr>
              <w:pStyle w:val="ListBullet"/>
              <w:spacing w:after="40" w:line="240" w:lineRule="auto"/>
            </w:pPr>
            <w:r>
              <w:rPr>
                <w:rFonts w:ascii="Aptos" w:hAnsi="Aptos"/>
                <w:sz w:val="16"/>
              </w:rPr>
              <w:t>Lanes, origin/destination, equipment/service type, forecast volume, seasonality, constraints and required capacity.</w:t>
            </w:r>
          </w:p>
          <w:p>
            <w:pPr>
              <w:pStyle w:val="ListBullet"/>
              <w:spacing w:after="40" w:line="240" w:lineRule="auto"/>
            </w:pPr>
            <w:r>
              <w:rPr>
                <w:rFonts w:ascii="Aptos" w:hAnsi="Aptos"/>
                <w:sz w:val="16"/>
              </w:rPr>
              <w:t>SLAs/KPIs, contract term, pricing structure, commercial/legal requirements and mandatory gates.</w:t>
            </w:r>
          </w:p>
          <w:p>
            <w:pPr>
              <w:pStyle w:val="ListBullet"/>
              <w:spacing w:after="40" w:line="240" w:lineRule="auto"/>
            </w:pPr>
            <w:r>
              <w:rPr>
                <w:rFonts w:ascii="Aptos" w:hAnsi="Aptos"/>
                <w:sz w:val="16"/>
              </w:rPr>
              <w:t>Invited vendors, submission deadlines, clarifications and response versions.</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Trend / Change</w:t>
            </w:r>
          </w:p>
        </w:tc>
        <w:tc>
          <w:tcPr>
            <w:tcW w:type="dxa" w:w="8323"/>
            <w:tcMar>
              <w:top w:w="90" w:type="dxa"/>
              <w:start w:w="110" w:type="dxa"/>
              <w:bottom w:w="90" w:type="dxa"/>
              <w:end w:w="110" w:type="dxa"/>
            </w:tcMar>
            <w:vAlign w:val="top"/>
          </w:tcPr>
          <w:p>
            <w:pPr>
              <w:spacing w:after="40" w:line="240" w:lineRule="auto"/>
            </w:pPr>
            <w:r>
              <w:rPr>
                <w:rFonts w:ascii="Aptos" w:hAnsi="Aptos"/>
                <w:sz w:val="16"/>
              </w:rPr>
              <w:t>Track completeness, unresolved ambiguity, criteria changes, approvals and package versions.</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Drivers &amp; Evidence</w:t>
            </w:r>
          </w:p>
        </w:tc>
        <w:tc>
          <w:tcPr>
            <w:tcW w:type="dxa" w:w="8323"/>
            <w:tcMar>
              <w:top w:w="90" w:type="dxa"/>
              <w:start w:w="110" w:type="dxa"/>
              <w:bottom w:w="90" w:type="dxa"/>
              <w:end w:w="110" w:type="dxa"/>
            </w:tcMar>
            <w:vAlign w:val="top"/>
          </w:tcPr>
          <w:p>
            <w:pPr>
              <w:spacing w:after="40" w:line="240" w:lineRule="auto"/>
            </w:pPr>
            <w:r>
              <w:rPr>
                <w:rFonts w:ascii="Aptos" w:hAnsi="Aptos"/>
                <w:sz w:val="16"/>
              </w:rPr>
              <w:t>AI-assisted drafting is grounded in approved fields and separate source documents. The requirement register records document, section and supporting passage for each material clause. Missing, ambiguous or conflicting requirements create review items and cannot be silently completed.</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Qualification</w:t>
            </w:r>
          </w:p>
        </w:tc>
        <w:tc>
          <w:tcPr>
            <w:tcW w:type="dxa" w:w="8323"/>
            <w:tcMar>
              <w:top w:w="90" w:type="dxa"/>
              <w:start w:w="110" w:type="dxa"/>
              <w:bottom w:w="90" w:type="dxa"/>
              <w:end w:w="110" w:type="dxa"/>
            </w:tcMar>
            <w:vAlign w:val="top"/>
          </w:tcPr>
          <w:p>
            <w:pPr>
              <w:spacing w:after="40" w:line="240" w:lineRule="auto"/>
            </w:pPr>
            <w:r>
              <w:rPr>
                <w:rFonts w:ascii="Aptos" w:hAnsi="Aptos"/>
                <w:sz w:val="16"/>
              </w:rPr>
              <w:t>The event is ready only when required inputs are complete or explicitly accepted as gaps, gates and weights are approved, and the evaluation method is locked before bid evaluation.</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Action</w:t>
            </w:r>
          </w:p>
        </w:tc>
        <w:tc>
          <w:tcPr>
            <w:tcW w:type="dxa" w:w="8323"/>
            <w:tcMar>
              <w:top w:w="90" w:type="dxa"/>
              <w:start w:w="110" w:type="dxa"/>
              <w:bottom w:w="90" w:type="dxa"/>
              <w:end w:w="110" w:type="dxa"/>
            </w:tcMar>
            <w:vAlign w:val="top"/>
          </w:tcPr>
          <w:p>
            <w:pPr>
              <w:spacing w:after="40" w:line="240" w:lineRule="auto"/>
            </w:pPr>
            <w:r>
              <w:rPr>
                <w:rFonts w:ascii="Aptos" w:hAnsi="Aptos"/>
                <w:sz w:val="16"/>
              </w:rPr>
              <w:t>Complete requirements, resolve questions, configure qualification gates and weighted criteria, approve/lock the evaluation rules and create the reviewable package.</w:t>
            </w:r>
          </w:p>
          <w:p>
            <w:pPr/>
            <w:r>
              <w:t>Generate the governed RFP/ITT and supplier package in British English or German using the approved bilingual terminology.</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Expected Impact / Exposure</w:t>
            </w:r>
          </w:p>
        </w:tc>
        <w:tc>
          <w:tcPr>
            <w:tcW w:type="dxa" w:w="8323"/>
            <w:tcMar>
              <w:top w:w="90" w:type="dxa"/>
              <w:start w:w="110" w:type="dxa"/>
              <w:bottom w:w="90" w:type="dxa"/>
              <w:end w:w="110" w:type="dxa"/>
            </w:tcMar>
            <w:vAlign w:val="top"/>
          </w:tcPr>
          <w:p>
            <w:pPr>
              <w:spacing w:after="40" w:line="240" w:lineRule="auto"/>
            </w:pPr>
            <w:r>
              <w:rPr>
                <w:rFonts w:ascii="Aptos" w:hAnsi="Aptos"/>
                <w:sz w:val="16"/>
              </w:rPr>
              <w:t>No savings or operational outcome is asserted at package creation. Show only supported scope and expected contract value if supplied.</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Confidence &amp; Gaps</w:t>
            </w:r>
          </w:p>
        </w:tc>
        <w:tc>
          <w:tcPr>
            <w:tcW w:type="dxa" w:w="8323"/>
            <w:tcMar>
              <w:top w:w="90" w:type="dxa"/>
              <w:start w:w="110" w:type="dxa"/>
              <w:bottom w:w="90" w:type="dxa"/>
              <w:end w:w="110" w:type="dxa"/>
            </w:tcMar>
            <w:vAlign w:val="top"/>
          </w:tcPr>
          <w:p>
            <w:pPr>
              <w:spacing w:after="40" w:line="240" w:lineRule="auto"/>
            </w:pPr>
            <w:r>
              <w:rPr>
                <w:rFonts w:ascii="Aptos" w:hAnsi="Aptos"/>
                <w:sz w:val="16"/>
              </w:rPr>
              <w:t>Flag uncertain volumes, unapproved terms, absent targets, conflicting sources and non-comparable units.</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User Control</w:t>
            </w:r>
          </w:p>
        </w:tc>
        <w:tc>
          <w:tcPr>
            <w:tcW w:type="dxa" w:w="8323"/>
            <w:tcMar>
              <w:top w:w="90" w:type="dxa"/>
              <w:start w:w="110" w:type="dxa"/>
              <w:bottom w:w="90" w:type="dxa"/>
              <w:end w:w="110" w:type="dxa"/>
            </w:tcMar>
            <w:vAlign w:val="top"/>
          </w:tcPr>
          <w:p>
            <w:pPr>
              <w:spacing w:after="40" w:line="240" w:lineRule="auto"/>
            </w:pPr>
            <w:r>
              <w:rPr>
                <w:rFonts w:ascii="Aptos" w:hAnsi="Aptos"/>
                <w:sz w:val="16"/>
              </w:rPr>
              <w:t>Users edit generated content; authorised users approve/lock the package and criteria. All changes are versioned.</w:t>
            </w:r>
          </w:p>
          <w:p>
            <w:pPr/>
            <w:r>
              <w:t>User selects the output language and reviews the translated content before approval or external use.</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Lifecycle Effect</w:t>
            </w:r>
          </w:p>
        </w:tc>
        <w:tc>
          <w:tcPr>
            <w:tcW w:type="dxa" w:w="8323"/>
            <w:tcMar>
              <w:top w:w="90" w:type="dxa"/>
              <w:start w:w="110" w:type="dxa"/>
              <w:bottom w:w="90" w:type="dxa"/>
              <w:end w:w="110" w:type="dxa"/>
            </w:tcMar>
            <w:vAlign w:val="top"/>
          </w:tcPr>
          <w:p>
            <w:pPr>
              <w:spacing w:after="40" w:line="240" w:lineRule="auto"/>
            </w:pPr>
            <w:r>
              <w:rPr>
                <w:rFonts w:ascii="Aptos" w:hAnsi="Aptos"/>
                <w:sz w:val="16"/>
              </w:rPr>
              <w:t>Approved requirements and criteria become the fixed reference for supplier communications, bid evaluation and later contract baseline creation.</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Evidence &amp; Traceability</w:t>
            </w:r>
          </w:p>
        </w:tc>
        <w:tc>
          <w:tcPr>
            <w:tcW w:type="dxa" w:w="8323"/>
            <w:tcMar>
              <w:top w:w="90" w:type="dxa"/>
              <w:start w:w="110" w:type="dxa"/>
              <w:bottom w:w="90" w:type="dxa"/>
              <w:end w:w="110" w:type="dxa"/>
            </w:tcMar>
            <w:vAlign w:val="top"/>
          </w:tcPr>
          <w:p>
            <w:pPr>
              <w:spacing w:after="40" w:line="240" w:lineRule="auto"/>
            </w:pPr>
            <w:r>
              <w:rPr>
                <w:rFonts w:ascii="Aptos" w:hAnsi="Aptos"/>
                <w:sz w:val="16"/>
              </w:rPr>
              <w:t>Every populated or generated requirement retains source, transformation, version, timestamp and approving user.</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Acceptance Criteria</w:t>
            </w:r>
          </w:p>
        </w:tc>
        <w:tc>
          <w:tcPr>
            <w:tcW w:type="dxa" w:w="8323"/>
            <w:tcMar>
              <w:top w:w="90" w:type="dxa"/>
              <w:start w:w="110" w:type="dxa"/>
              <w:bottom w:w="90" w:type="dxa"/>
              <w:end w:w="110" w:type="dxa"/>
            </w:tcMar>
            <w:vAlign w:val="top"/>
          </w:tcPr>
          <w:p>
            <w:pPr>
              <w:pStyle w:val="ListBullet"/>
              <w:spacing w:after="40" w:line="240" w:lineRule="auto"/>
            </w:pPr>
            <w:r>
              <w:rPr>
                <w:rFonts w:ascii="Aptos" w:hAnsi="Aptos"/>
                <w:sz w:val="16"/>
              </w:rPr>
              <w:t>Package contains agreed lane, volume, service, SLA/KPI, pricing and commercial requirements.</w:t>
            </w:r>
          </w:p>
          <w:p>
            <w:pPr>
              <w:pStyle w:val="ListBullet"/>
              <w:spacing w:after="40" w:line="240" w:lineRule="auto"/>
            </w:pPr>
            <w:r>
              <w:rPr>
                <w:rFonts w:ascii="Aptos" w:hAnsi="Aptos"/>
                <w:sz w:val="16"/>
              </w:rPr>
              <w:t>Missing inputs are clearly identified.</w:t>
            </w:r>
          </w:p>
          <w:p>
            <w:pPr>
              <w:pStyle w:val="ListBullet"/>
              <w:spacing w:after="40" w:line="240" w:lineRule="auto"/>
            </w:pPr>
            <w:r>
              <w:rPr>
                <w:rFonts w:ascii="Aptos" w:hAnsi="Aptos"/>
                <w:sz w:val="16"/>
              </w:rPr>
              <w:t>Qualification gates, weights and scoring rules are approved and locked before evaluation.</w:t>
            </w:r>
          </w:p>
          <w:p>
            <w:pPr>
              <w:pStyle w:val="ListBullet"/>
            </w:pPr>
            <w:r>
              <w:t>Equivalent British English and German outputs preserve requirements, figures, evidence links and approved terminology.</w:t>
            </w:r>
          </w:p>
        </w:tc>
      </w:tr>
    </w:tbl>
    <w:p>
      <w:pPr>
        <w:spacing w:after="20"/>
      </w:pPr>
    </w:p>
    <w:p>
      <w:pPr>
        <w:pStyle w:val="Heading1"/>
      </w:pPr>
      <w:r>
        <w:t>3. Validate Supplier Communications and Submissions</w:t>
      </w:r>
    </w:p>
    <w:p>
      <w:pPr>
        <w:keepNext/>
        <w:spacing w:after="80"/>
      </w:pPr>
      <w:r>
        <w:rPr>
          <w:i/>
          <w:color w:val="1F2933"/>
        </w:rPr>
        <w:t>As a Procurement / Category Manager, I want Compass to extract only relevant inbound supplier communications and safely draft outbound messages so email becomes governed evidence without contaminating decisions or disclosing sensitive information.</w:t>
      </w:r>
    </w:p>
    <w:p>
      <w:pPr>
        <w:keepNext/>
        <w:spacing w:after="140"/>
      </w:pPr>
      <w:r>
        <w:rPr>
          <w:b/>
        </w:rPr>
        <w:t xml:space="preserve">BRD basis: </w:t>
      </w:r>
      <w:r>
        <w:t>Sections 4, 7 (FR-25 to FR-34), 11, 12, 13, 14 and 15; AC-13 to AC-18.</w:t>
      </w:r>
    </w:p>
    <w:tbl>
      <w:tblPr>
        <w:tblW w:type="auto" w:w="0"/>
        <w:jc w:val="center"/>
        <w:tblLayout w:type="fixed"/>
        <w:tblLook w:firstColumn="1" w:firstRow="1" w:lastColumn="0" w:lastRow="0" w:noHBand="0" w:noVBand="1" w:val="04A0"/>
        <w:tblBorders>
          <w:top w:val="single" w:sz="4" w:color="B8C7D9"/>
          <w:left w:val="single" w:sz="4" w:color="B8C7D9"/>
          <w:bottom w:val="single" w:sz="4" w:color="B8C7D9"/>
          <w:right w:val="single" w:sz="4" w:color="B8C7D9"/>
          <w:insideH w:val="single" w:sz="4" w:color="B8C7D9"/>
          <w:insideV w:val="single" w:sz="4" w:color="B8C7D9"/>
        </w:tblBorders>
      </w:tblPr>
      <w:tblGrid>
        <w:gridCol w:w="2477"/>
        <w:gridCol w:w="8323"/>
      </w:tblGrid>
      <w:tr>
        <w:trPr>
          <w:cantSplit/>
        </w:trPr>
        <w:tc>
          <w:tcPr>
            <w:tcW w:type="dxa" w:w="2477"/>
            <w:tcMar>
              <w:top w:w="90" w:type="dxa"/>
              <w:start w:w="110" w:type="dxa"/>
              <w:bottom w:w="90" w:type="dxa"/>
              <w:end w:w="110" w:type="dxa"/>
            </w:tcMar>
            <w:vAlign w:val="top"/>
            <w:shd w:fill="17365D"/>
          </w:tcPr>
          <w:p>
            <w:pPr>
              <w:spacing w:after="40" w:line="240" w:lineRule="auto"/>
            </w:pPr>
            <w:r>
              <w:rPr>
                <w:rFonts w:ascii="Aptos" w:hAnsi="Aptos"/>
                <w:b/>
                <w:color w:val="FFFFFF"/>
                <w:sz w:val="16"/>
              </w:rPr>
              <w:t>Persona &amp; Decision</w:t>
            </w:r>
          </w:p>
        </w:tc>
        <w:tc>
          <w:tcPr>
            <w:tcW w:type="dxa" w:w="8323"/>
            <w:tcMar>
              <w:top w:w="90" w:type="dxa"/>
              <w:start w:w="110" w:type="dxa"/>
              <w:bottom w:w="90" w:type="dxa"/>
              <w:end w:w="110" w:type="dxa"/>
            </w:tcMar>
            <w:vAlign w:val="top"/>
          </w:tcPr>
          <w:p>
            <w:pPr>
              <w:spacing w:after="40" w:line="240" w:lineRule="auto"/>
            </w:pPr>
            <w:r>
              <w:rPr>
                <w:rFonts w:ascii="Aptos" w:hAnsi="Aptos"/>
                <w:sz w:val="16"/>
              </w:rPr>
              <w:t>Procurement / Category Manager or authorised sourcing user. Decide whether an inbound email is relevant and correctly linked, and whether an outbound supplier message is safe and approved to send.</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Metrics &amp; Data</w:t>
            </w:r>
          </w:p>
        </w:tc>
        <w:tc>
          <w:tcPr>
            <w:tcW w:type="dxa" w:w="8323"/>
            <w:tcMar>
              <w:top w:w="90" w:type="dxa"/>
              <w:start w:w="110" w:type="dxa"/>
              <w:bottom w:w="90" w:type="dxa"/>
              <w:end w:w="110" w:type="dxa"/>
            </w:tcMar>
            <w:vAlign w:val="top"/>
          </w:tcPr>
          <w:p>
            <w:pPr>
              <w:pStyle w:val="ListBullet"/>
              <w:spacing w:after="40" w:line="240" w:lineRule="auto"/>
            </w:pPr>
            <w:r>
              <w:rPr>
                <w:rFonts w:ascii="Aptos" w:hAnsi="Aptos"/>
                <w:sz w:val="16"/>
              </w:rPr>
              <w:t>Authorised Gmail or Microsoft 365 account/mailbox/label/folder; message/thread ID, participants, timestamp, subject and labels.</w:t>
            </w:r>
          </w:p>
          <w:p>
            <w:pPr>
              <w:pStyle w:val="ListBullet"/>
              <w:spacing w:after="40" w:line="240" w:lineRule="auto"/>
            </w:pPr>
            <w:r>
              <w:rPr>
                <w:rFonts w:ascii="Aptos" w:hAnsi="Aptos"/>
                <w:sz w:val="16"/>
              </w:rPr>
              <w:t>Body reference, attachments, classification, confidence, linked procurement object, review/send status and delivery status.</w:t>
            </w:r>
          </w:p>
          <w:p>
            <w:pPr>
              <w:pStyle w:val="ListBullet"/>
              <w:spacing w:after="40" w:line="240" w:lineRule="auto"/>
            </w:pPr>
            <w:r>
              <w:rPr>
                <w:rFonts w:ascii="Aptos" w:hAnsi="Aptos"/>
                <w:sz w:val="16"/>
              </w:rPr>
              <w:t>Known vendor/employee/approver identities and controlled event, contract, vendor, lane, shipment, claim and corrective-action identifiers.</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Trend / Change</w:t>
            </w:r>
          </w:p>
        </w:tc>
        <w:tc>
          <w:tcPr>
            <w:tcW w:type="dxa" w:w="8323"/>
            <w:tcMar>
              <w:top w:w="90" w:type="dxa"/>
              <w:start w:w="110" w:type="dxa"/>
              <w:bottom w:w="90" w:type="dxa"/>
              <w:end w:w="110" w:type="dxa"/>
            </w:tcMar>
            <w:vAlign w:val="top"/>
          </w:tcPr>
          <w:p>
            <w:pPr>
              <w:spacing w:after="40" w:line="240" w:lineRule="auto"/>
            </w:pPr>
            <w:r>
              <w:rPr>
                <w:rFonts w:ascii="Aptos" w:hAnsi="Aptos"/>
                <w:sz w:val="16"/>
              </w:rPr>
              <w:t>Track thread context, supplier response/submission status, revised attachments, clarification state, classification corrections, drafts, approvals and delivery status.</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Drivers &amp; Evidence</w:t>
            </w:r>
          </w:p>
        </w:tc>
        <w:tc>
          <w:tcPr>
            <w:tcW w:type="dxa" w:w="8323"/>
            <w:tcMar>
              <w:top w:w="90" w:type="dxa"/>
              <w:start w:w="110" w:type="dxa"/>
              <w:bottom w:w="90" w:type="dxa"/>
              <w:end w:w="110" w:type="dxa"/>
            </w:tcMar>
            <w:vAlign w:val="top"/>
          </w:tcPr>
          <w:p>
            <w:pPr>
              <w:pStyle w:val="ListBullet"/>
              <w:spacing w:after="40" w:line="240" w:lineRule="auto"/>
            </w:pPr>
            <w:r>
              <w:rPr>
                <w:rFonts w:ascii="Aptos" w:hAnsi="Aptos"/>
                <w:sz w:val="16"/>
              </w:rPr>
              <w:t>Apply permission, exclusion, identity, controlled-reference, thread/context, content, attachment and confidence tests.</w:t>
            </w:r>
          </w:p>
          <w:p>
            <w:pPr>
              <w:pStyle w:val="ListBullet"/>
              <w:spacing w:after="40" w:line="240" w:lineRule="auto"/>
            </w:pPr>
            <w:r>
              <w:rPr>
                <w:rFonts w:ascii="Aptos" w:hAnsi="Aptos"/>
                <w:sz w:val="16"/>
              </w:rPr>
              <w:t>Show visible reasons for Confirmed Relevant, Potentially Relevant or Not Relevant.</w:t>
            </w:r>
          </w:p>
          <w:p>
            <w:pPr>
              <w:pStyle w:val="ListBullet"/>
              <w:spacing w:after="40" w:line="240" w:lineRule="auto"/>
            </w:pPr>
            <w:r>
              <w:rPr>
                <w:rFonts w:ascii="Aptos" w:hAnsi="Aptos"/>
                <w:sz w:val="16"/>
              </w:rPr>
              <w:t>Assess attachments independently and preserve originals plus version history.</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Qualification</w:t>
            </w:r>
          </w:p>
        </w:tc>
        <w:tc>
          <w:tcPr>
            <w:tcW w:type="dxa" w:w="8323"/>
            <w:tcMar>
              <w:top w:w="90" w:type="dxa"/>
              <w:start w:w="110" w:type="dxa"/>
              <w:bottom w:w="90" w:type="dxa"/>
              <w:end w:w="110" w:type="dxa"/>
            </w:tcMar>
            <w:vAlign w:val="top"/>
          </w:tcPr>
          <w:p>
            <w:pPr>
              <w:spacing w:after="40" w:line="240" w:lineRule="auto"/>
            </w:pPr>
            <w:r>
              <w:rPr>
                <w:rFonts w:ascii="Aptos" w:hAnsi="Aptos"/>
                <w:sz w:val="16"/>
              </w:rPr>
              <w:t>Confirmed Relevant may be processed and linked. Potentially Relevant enters human review and cannot affect bids, profiles, scores or recommendations. Not Relevant is ignored and its content is not copied into Compass.</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Action</w:t>
            </w:r>
          </w:p>
        </w:tc>
        <w:tc>
          <w:tcPr>
            <w:tcW w:type="dxa" w:w="8323"/>
            <w:tcMar>
              <w:top w:w="90" w:type="dxa"/>
              <w:start w:w="110" w:type="dxa"/>
              <w:bottom w:w="90" w:type="dxa"/>
              <w:end w:w="110" w:type="dxa"/>
            </w:tcMar>
            <w:vAlign w:val="top"/>
          </w:tcPr>
          <w:p>
            <w:pPr>
              <w:pStyle w:val="ListBullet"/>
              <w:spacing w:after="40" w:line="240" w:lineRule="auto"/>
            </w:pPr>
            <w:r>
              <w:rPr>
                <w:rFonts w:ascii="Aptos" w:hAnsi="Aptos"/>
                <w:sz w:val="16"/>
              </w:rPr>
              <w:t>Extract supported requirements, questions, deadlines, commitments, exceptions, approvals, incidents and corrective-action statements.</w:t>
            </w:r>
          </w:p>
          <w:p>
            <w:pPr>
              <w:pStyle w:val="ListBullet"/>
              <w:spacing w:after="40" w:line="240" w:lineRule="auto"/>
            </w:pPr>
            <w:r>
              <w:rPr>
                <w:rFonts w:ascii="Aptos" w:hAnsi="Aptos"/>
                <w:sz w:val="16"/>
              </w:rPr>
              <w:t>Draft invitations, clarifications, reminders, addenda, award notices and performance communications from governed workflow data.</w:t>
            </w:r>
          </w:p>
          <w:p>
            <w:pPr>
              <w:pStyle w:val="ListBullet"/>
              <w:spacing w:after="40" w:line="240" w:lineRule="auto"/>
            </w:pPr>
            <w:r>
              <w:rPr>
                <w:rFonts w:ascii="Aptos" w:hAnsi="Aptos"/>
                <w:sz w:val="16"/>
              </w:rPr>
              <w:t>For a material clarification, recommend a consistent anonymized draft to all affected bidders.</w:t>
            </w:r>
          </w:p>
          <w:p>
            <w:pPr>
              <w:pStyle w:val="ListBullet"/>
            </w:pPr>
            <w:r>
              <w:t>Detect English or German source language, process the original directly and provide a clearly labelled British English or German translation when requested.</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Expected Impact / Exposure</w:t>
            </w:r>
          </w:p>
        </w:tc>
        <w:tc>
          <w:tcPr>
            <w:tcW w:type="dxa" w:w="8323"/>
            <w:tcMar>
              <w:top w:w="90" w:type="dxa"/>
              <w:start w:w="110" w:type="dxa"/>
              <w:bottom w:w="90" w:type="dxa"/>
              <w:end w:w="110" w:type="dxa"/>
            </w:tcMar>
            <w:vAlign w:val="top"/>
          </w:tcPr>
          <w:p>
            <w:pPr>
              <w:spacing w:after="40" w:line="240" w:lineRule="auto"/>
            </w:pPr>
            <w:r>
              <w:rPr>
                <w:rFonts w:ascii="Aptos" w:hAnsi="Aptos"/>
                <w:sz w:val="16"/>
              </w:rPr>
              <w:t>Show affected event/vendor/object and communication risk; do not infer bid facts, commitments or supplier intent beyond the email evidence.</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Confidence &amp; Gaps</w:t>
            </w:r>
          </w:p>
        </w:tc>
        <w:tc>
          <w:tcPr>
            <w:tcW w:type="dxa" w:w="8323"/>
            <w:tcMar>
              <w:top w:w="90" w:type="dxa"/>
              <w:start w:w="110" w:type="dxa"/>
              <w:bottom w:w="90" w:type="dxa"/>
              <w:end w:w="110" w:type="dxa"/>
            </w:tcMar>
            <w:vAlign w:val="top"/>
          </w:tcPr>
          <w:p>
            <w:pPr>
              <w:spacing w:after="40" w:line="240" w:lineRule="auto"/>
            </w:pPr>
            <w:r>
              <w:rPr>
                <w:rFonts w:ascii="Aptos" w:hAnsi="Aptos"/>
                <w:sz w:val="16"/>
              </w:rPr>
              <w:t>Expose matching evidence and confidence. Ambiguous messages remain quarantined until reviewed; reviewer correction becomes an auditable feedback signal.</w:t>
            </w:r>
          </w:p>
          <w:p>
            <w:pPr/>
            <w:r>
              <w:t>Flag uncertain terminology, untranslated content and possible meaning changes for human review; do not treat translation confidence as source-evidence confidence.</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User Control</w:t>
            </w:r>
          </w:p>
        </w:tc>
        <w:tc>
          <w:tcPr>
            <w:tcW w:type="dxa" w:w="8323"/>
            <w:tcMar>
              <w:top w:w="90" w:type="dxa"/>
              <w:start w:w="110" w:type="dxa"/>
              <w:bottom w:w="90" w:type="dxa"/>
              <w:end w:w="110" w:type="dxa"/>
            </w:tcMar>
            <w:vAlign w:val="top"/>
          </w:tcPr>
          <w:p>
            <w:pPr>
              <w:spacing w:after="40" w:line="240" w:lineRule="auto"/>
            </w:pPr>
            <w:r>
              <w:rPr>
                <w:rFonts w:ascii="Aptos" w:hAnsi="Aptos"/>
                <w:sz w:val="16"/>
              </w:rPr>
              <w:t>A user confirms/rejects uncertain classification and corrects object matching. No send occurs until recipient, authorisation, facts, dates, attachment version and confidentiality checks pass and a human approves.</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Lifecycle Effect</w:t>
            </w:r>
          </w:p>
        </w:tc>
        <w:tc>
          <w:tcPr>
            <w:tcW w:type="dxa" w:w="8323"/>
            <w:tcMar>
              <w:top w:w="90" w:type="dxa"/>
              <w:start w:w="110" w:type="dxa"/>
              <w:bottom w:w="90" w:type="dxa"/>
              <w:end w:w="110" w:type="dxa"/>
            </w:tcMar>
            <w:vAlign w:val="top"/>
          </w:tcPr>
          <w:p>
            <w:pPr>
              <w:spacing w:after="40" w:line="240" w:lineRule="auto"/>
            </w:pPr>
            <w:r>
              <w:rPr>
                <w:rFonts w:ascii="Aptos" w:hAnsi="Aptos"/>
                <w:sz w:val="16"/>
              </w:rPr>
              <w:t>Confirmed inbound evidence updates only the linked governed object. Approved sent communications and delivery status become part of the event, vendor, contract, incident or action history.</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Evidence &amp; Traceability</w:t>
            </w:r>
          </w:p>
        </w:tc>
        <w:tc>
          <w:tcPr>
            <w:tcW w:type="dxa" w:w="8323"/>
            <w:tcMar>
              <w:top w:w="90" w:type="dxa"/>
              <w:start w:w="110" w:type="dxa"/>
              <w:bottom w:w="90" w:type="dxa"/>
              <w:end w:w="110" w:type="dxa"/>
            </w:tcMar>
            <w:vAlign w:val="top"/>
          </w:tcPr>
          <w:p>
            <w:pPr>
              <w:spacing w:after="40" w:line="240" w:lineRule="auto"/>
            </w:pPr>
            <w:r>
              <w:rPr>
                <w:rFonts w:ascii="Aptos" w:hAnsi="Aptos"/>
                <w:sz w:val="16"/>
              </w:rPr>
              <w:t>Retain original email/attachment references, classification reasons, reviewer identity/rationale/time, extracted facts, drafts, approvals, sent content, attachments and delivery status.</w:t>
            </w:r>
          </w:p>
          <w:p>
            <w:pPr/>
            <w:r>
              <w:t>Record source language, requested output language, translation status, glossary version and linkage between the original and each translation.</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Acceptance Criteria</w:t>
            </w:r>
          </w:p>
        </w:tc>
        <w:tc>
          <w:tcPr>
            <w:tcW w:type="dxa" w:w="8323"/>
            <w:tcMar>
              <w:top w:w="90" w:type="dxa"/>
              <w:start w:w="110" w:type="dxa"/>
              <w:bottom w:w="90" w:type="dxa"/>
              <w:end w:w="110" w:type="dxa"/>
            </w:tcMar>
            <w:vAlign w:val="top"/>
          </w:tcPr>
          <w:p>
            <w:pPr>
              <w:pStyle w:val="ListBullet"/>
              <w:spacing w:after="40" w:line="240" w:lineRule="auto"/>
            </w:pPr>
            <w:r>
              <w:rPr>
                <w:rFonts w:ascii="Aptos" w:hAnsi="Aptos"/>
                <w:sz w:val="16"/>
              </w:rPr>
              <w:t>Every test email has one visible classification and rationale.</w:t>
            </w:r>
          </w:p>
          <w:p>
            <w:pPr>
              <w:pStyle w:val="ListBullet"/>
              <w:spacing w:after="40" w:line="240" w:lineRule="auto"/>
            </w:pPr>
            <w:r>
              <w:rPr>
                <w:rFonts w:ascii="Aptos" w:hAnsi="Aptos"/>
                <w:sz w:val="16"/>
              </w:rPr>
              <w:t>Unconfirmed or unrelated email content cannot influence any bid, profile, score or recommendation.</w:t>
            </w:r>
          </w:p>
          <w:p>
            <w:pPr>
              <w:pStyle w:val="ListBullet"/>
              <w:spacing w:after="40" w:line="240" w:lineRule="auto"/>
            </w:pPr>
            <w:r>
              <w:rPr>
                <w:rFonts w:ascii="Aptos" w:hAnsi="Aptos"/>
                <w:sz w:val="16"/>
              </w:rPr>
              <w:t>A revised rate card becomes a new version while the original remains accessible.</w:t>
            </w:r>
          </w:p>
          <w:p>
            <w:pPr>
              <w:pStyle w:val="ListBullet"/>
              <w:spacing w:after="40" w:line="240" w:lineRule="auto"/>
            </w:pPr>
            <w:r>
              <w:rPr>
                <w:rFonts w:ascii="Aptos" w:hAnsi="Aptos"/>
                <w:sz w:val="16"/>
              </w:rPr>
              <w:t>Outbound send is blocked until all validations and human approval succeed.</w:t>
            </w:r>
          </w:p>
          <w:p>
            <w:pPr>
              <w:pStyle w:val="ListBullet"/>
              <w:spacing w:after="40" w:line="240" w:lineRule="auto"/>
            </w:pPr>
            <w:r>
              <w:rPr>
                <w:rFonts w:ascii="Aptos" w:hAnsi="Aptos"/>
                <w:sz w:val="16"/>
              </w:rPr>
              <w:t>A material clarification produces a consistent anonymized draft for all affected bidders.</w:t>
            </w:r>
          </w:p>
          <w:p>
            <w:pPr>
              <w:pStyle w:val="ListBullet"/>
            </w:pPr>
            <w:r>
              <w:t>A German supplier email is classified and extracted from the original; any British English translation is labelled and the source remains accessible. A German outbound draft requires the same validations and human approval as an English draft.</w:t>
            </w:r>
          </w:p>
        </w:tc>
      </w:tr>
    </w:tbl>
    <w:p>
      <w:pPr>
        <w:spacing w:after="20"/>
      </w:pPr>
    </w:p>
    <w:p>
      <w:pPr>
        <w:pStyle w:val="Heading1"/>
      </w:pPr>
      <w:r>
        <w:t>4. Score Carrier Bids</w:t>
      </w:r>
    </w:p>
    <w:p>
      <w:pPr>
        <w:keepNext/>
        <w:spacing w:after="80"/>
      </w:pPr>
      <w:r>
        <w:rPr>
          <w:i/>
          <w:color w:val="1F2933"/>
        </w:rPr>
        <w:t>As a Procurement / Category Manager and Logistics reviewer, I want Compass to normalise materially different carrier proposals and compare compliant award scenarios using transparent commercial, service, capacity and vendor-history evidence.</w:t>
      </w:r>
    </w:p>
    <w:p>
      <w:pPr>
        <w:keepNext/>
        <w:spacing w:after="140"/>
      </w:pPr>
      <w:r>
        <w:rPr>
          <w:b/>
        </w:rPr>
        <w:t xml:space="preserve">BRD basis: </w:t>
      </w:r>
      <w:r>
        <w:t>Sections 7 (FR-08 to FR-11, FR-16, FR-21 to FR-23), 8, 9, 12, 13 and 15; AC-03 to AC-06 and AC-12.</w:t>
      </w:r>
    </w:p>
    <w:tbl>
      <w:tblPr>
        <w:tblW w:type="auto" w:w="0"/>
        <w:jc w:val="center"/>
        <w:tblLayout w:type="fixed"/>
        <w:tblLook w:firstColumn="1" w:firstRow="1" w:lastColumn="0" w:lastRow="0" w:noHBand="0" w:noVBand="1" w:val="04A0"/>
        <w:tblBorders>
          <w:top w:val="single" w:sz="4" w:color="B8C7D9"/>
          <w:left w:val="single" w:sz="4" w:color="B8C7D9"/>
          <w:bottom w:val="single" w:sz="4" w:color="B8C7D9"/>
          <w:right w:val="single" w:sz="4" w:color="B8C7D9"/>
          <w:insideH w:val="single" w:sz="4" w:color="B8C7D9"/>
          <w:insideV w:val="single" w:sz="4" w:color="B8C7D9"/>
        </w:tblBorders>
      </w:tblPr>
      <w:tblGrid>
        <w:gridCol w:w="2477"/>
        <w:gridCol w:w="8323"/>
      </w:tblGrid>
      <w:tr>
        <w:trPr>
          <w:cantSplit/>
        </w:trPr>
        <w:tc>
          <w:tcPr>
            <w:tcW w:type="dxa" w:w="2477"/>
            <w:tcMar>
              <w:top w:w="90" w:type="dxa"/>
              <w:start w:w="110" w:type="dxa"/>
              <w:bottom w:w="90" w:type="dxa"/>
              <w:end w:w="110" w:type="dxa"/>
            </w:tcMar>
            <w:vAlign w:val="top"/>
            <w:shd w:fill="17365D"/>
          </w:tcPr>
          <w:p>
            <w:pPr>
              <w:spacing w:after="40" w:line="240" w:lineRule="auto"/>
            </w:pPr>
            <w:r>
              <w:rPr>
                <w:rFonts w:ascii="Aptos" w:hAnsi="Aptos"/>
                <w:b/>
                <w:color w:val="FFFFFF"/>
                <w:sz w:val="16"/>
              </w:rPr>
              <w:t>Persona &amp; Decision</w:t>
            </w:r>
          </w:p>
        </w:tc>
        <w:tc>
          <w:tcPr>
            <w:tcW w:type="dxa" w:w="8323"/>
            <w:tcMar>
              <w:top w:w="90" w:type="dxa"/>
              <w:start w:w="110" w:type="dxa"/>
              <w:bottom w:w="90" w:type="dxa"/>
              <w:end w:w="110" w:type="dxa"/>
            </w:tcMar>
            <w:vAlign w:val="top"/>
          </w:tcPr>
          <w:p>
            <w:pPr>
              <w:spacing w:after="40" w:line="240" w:lineRule="auto"/>
            </w:pPr>
            <w:r>
              <w:rPr>
                <w:rFonts w:ascii="Aptos" w:hAnsi="Aptos"/>
                <w:sz w:val="16"/>
              </w:rPr>
              <w:t>Procurement / Category Manager, Logistics / Transportation Operations and Finance. Decide which compliant scenario offers the most supportable cost, service, capacity, concentration and performance trade-off.</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Metrics &amp; Data</w:t>
            </w:r>
          </w:p>
        </w:tc>
        <w:tc>
          <w:tcPr>
            <w:tcW w:type="dxa" w:w="8323"/>
            <w:tcMar>
              <w:top w:w="90" w:type="dxa"/>
              <w:start w:w="110" w:type="dxa"/>
              <w:bottom w:w="90" w:type="dxa"/>
              <w:end w:w="110" w:type="dxa"/>
            </w:tcMar>
            <w:vAlign w:val="top"/>
          </w:tcPr>
          <w:p>
            <w:pPr>
              <w:pStyle w:val="ListBullet"/>
              <w:spacing w:after="40" w:line="240" w:lineRule="auto"/>
            </w:pPr>
            <w:r>
              <w:rPr>
                <w:rFonts w:ascii="Aptos" w:hAnsi="Aptos"/>
                <w:sz w:val="16"/>
              </w:rPr>
              <w:t>Original and normalised lane rates, rate units, surcharges, exclusions, currencies, coverage and assumptions.</w:t>
            </w:r>
          </w:p>
          <w:p>
            <w:pPr>
              <w:pStyle w:val="ListBullet"/>
              <w:spacing w:after="40" w:line="240" w:lineRule="auto"/>
            </w:pPr>
            <w:r>
              <w:rPr>
                <w:rFonts w:ascii="Aptos" w:hAnsi="Aptos"/>
                <w:sz w:val="16"/>
              </w:rPr>
              <w:t>Service commitments, transition plans, capacity by lane/cluster and mandatory evidence.</w:t>
            </w:r>
          </w:p>
          <w:p>
            <w:pPr>
              <w:pStyle w:val="ListBullet"/>
              <w:spacing w:after="40" w:line="240" w:lineRule="auto"/>
            </w:pPr>
            <w:r>
              <w:rPr>
                <w:rFonts w:ascii="Aptos" w:hAnsi="Aptos"/>
                <w:sz w:val="16"/>
              </w:rPr>
              <w:t>Approved weighted criteria and incumbent historical metrics/score; No History for challengers.</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Trend / Change</w:t>
            </w:r>
          </w:p>
        </w:tc>
        <w:tc>
          <w:tcPr>
            <w:tcW w:type="dxa" w:w="8323"/>
            <w:tcMar>
              <w:top w:w="90" w:type="dxa"/>
              <w:start w:w="110" w:type="dxa"/>
              <w:bottom w:w="90" w:type="dxa"/>
              <w:end w:w="110" w:type="dxa"/>
            </w:tcMar>
            <w:vAlign w:val="top"/>
          </w:tcPr>
          <w:p>
            <w:pPr>
              <w:spacing w:after="40" w:line="240" w:lineRule="auto"/>
            </w:pPr>
            <w:r>
              <w:rPr>
                <w:rFonts w:ascii="Aptos" w:hAnsi="Aptos"/>
                <w:sz w:val="16"/>
              </w:rPr>
              <w:t>Compare proposal versions and show how new rate cards or clarifications change cost, compliance, coverage and scenario outcome.</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Drivers &amp; Evidence</w:t>
            </w:r>
          </w:p>
        </w:tc>
        <w:tc>
          <w:tcPr>
            <w:tcW w:type="dxa" w:w="8323"/>
            <w:tcMar>
              <w:top w:w="90" w:type="dxa"/>
              <w:start w:w="110" w:type="dxa"/>
              <w:bottom w:w="90" w:type="dxa"/>
              <w:end w:w="110" w:type="dxa"/>
            </w:tcMar>
            <w:vAlign w:val="top"/>
          </w:tcPr>
          <w:p>
            <w:pPr>
              <w:pStyle w:val="ListBullet"/>
              <w:spacing w:after="40" w:line="240" w:lineRule="auto"/>
            </w:pPr>
            <w:r>
              <w:rPr>
                <w:rFonts w:ascii="Aptos" w:hAnsi="Aptos"/>
                <w:sz w:val="16"/>
              </w:rPr>
              <w:t>Preserve original source values while exposing normalization formulas and assumptions.</w:t>
            </w:r>
          </w:p>
          <w:p>
            <w:pPr>
              <w:pStyle w:val="ListBullet"/>
              <w:spacing w:after="40" w:line="240" w:lineRule="auto"/>
            </w:pPr>
            <w:r>
              <w:rPr>
                <w:rFonts w:ascii="Aptos" w:hAnsi="Aptos"/>
                <w:sz w:val="16"/>
              </w:rPr>
              <w:t>Show each gate as Pass, Fail or Evidence Missing with citations.</w:t>
            </w:r>
          </w:p>
          <w:p>
            <w:pPr>
              <w:pStyle w:val="ListBullet"/>
              <w:spacing w:after="40" w:line="240" w:lineRule="auto"/>
            </w:pPr>
            <w:r>
              <w:rPr>
                <w:rFonts w:ascii="Aptos" w:hAnsi="Aptos"/>
                <w:sz w:val="16"/>
              </w:rPr>
              <w:t>Explain single- and multi-award trade-offs across cost, service, capacity, concentration, history and transition risk.</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Qualification</w:t>
            </w:r>
          </w:p>
        </w:tc>
        <w:tc>
          <w:tcPr>
            <w:tcW w:type="dxa" w:w="8323"/>
            <w:tcMar>
              <w:top w:w="90" w:type="dxa"/>
              <w:start w:w="110" w:type="dxa"/>
              <w:bottom w:w="90" w:type="dxa"/>
              <w:end w:w="110" w:type="dxa"/>
            </w:tcMar>
            <w:vAlign w:val="top"/>
          </w:tcPr>
          <w:p>
            <w:pPr>
              <w:spacing w:after="40" w:line="240" w:lineRule="auto"/>
            </w:pPr>
            <w:r>
              <w:rPr>
                <w:rFonts w:ascii="Aptos" w:hAnsi="Aptos"/>
                <w:sz w:val="16"/>
              </w:rPr>
              <w:t>Mandatory qualification is separate from weighted scoring. Failed bids are blocked or clearly segregated and are never silently ranked as compliant.</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Action</w:t>
            </w:r>
          </w:p>
        </w:tc>
        <w:tc>
          <w:tcPr>
            <w:tcW w:type="dxa" w:w="8323"/>
            <w:tcMar>
              <w:top w:w="90" w:type="dxa"/>
              <w:start w:w="110" w:type="dxa"/>
              <w:bottom w:w="90" w:type="dxa"/>
              <w:end w:w="110" w:type="dxa"/>
            </w:tcMar>
            <w:vAlign w:val="top"/>
          </w:tcPr>
          <w:p>
            <w:pPr>
              <w:spacing w:after="40" w:line="240" w:lineRule="auto"/>
            </w:pPr>
            <w:r>
              <w:rPr>
                <w:rFonts w:ascii="Aptos" w:hAnsi="Aptos"/>
                <w:sz w:val="16"/>
              </w:rPr>
              <w:t>Resolve missing evidence, compare scenarios, inspect Vendor 360, or create an evidence-backed award recommendation with alternatives and unresolved exceptions.</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Expected Impact / Exposure</w:t>
            </w:r>
          </w:p>
        </w:tc>
        <w:tc>
          <w:tcPr>
            <w:tcW w:type="dxa" w:w="8323"/>
            <w:tcMar>
              <w:top w:w="90" w:type="dxa"/>
              <w:start w:w="110" w:type="dxa"/>
              <w:bottom w:w="90" w:type="dxa"/>
              <w:end w:w="110" w:type="dxa"/>
            </w:tcMar>
            <w:vAlign w:val="top"/>
          </w:tcPr>
          <w:p>
            <w:pPr>
              <w:spacing w:after="40" w:line="240" w:lineRule="auto"/>
            </w:pPr>
            <w:r>
              <w:rPr>
                <w:rFonts w:ascii="Aptos" w:hAnsi="Aptos"/>
                <w:sz w:val="16"/>
              </w:rPr>
              <w:t>Show normalised annual/term cost and supported service/capacity exposure. Do not manufacture savings, risk probability or vendor-history values.</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Confidence &amp; Gaps</w:t>
            </w:r>
          </w:p>
        </w:tc>
        <w:tc>
          <w:tcPr>
            <w:tcW w:type="dxa" w:w="8323"/>
            <w:tcMar>
              <w:top w:w="90" w:type="dxa"/>
              <w:start w:w="110" w:type="dxa"/>
              <w:bottom w:w="90" w:type="dxa"/>
              <w:end w:w="110" w:type="dxa"/>
            </w:tcMar>
            <w:vAlign w:val="top"/>
          </w:tcPr>
          <w:p>
            <w:pPr>
              <w:spacing w:after="40" w:line="240" w:lineRule="auto"/>
            </w:pPr>
            <w:r>
              <w:rPr>
                <w:rFonts w:ascii="Aptos" w:hAnsi="Aptos"/>
                <w:sz w:val="16"/>
              </w:rPr>
              <w:t>Expose incomplete lanes, unsupported assumptions, conflicting bid statements, missing evidence and the effect on comparison confidence.</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User Control</w:t>
            </w:r>
          </w:p>
        </w:tc>
        <w:tc>
          <w:tcPr>
            <w:tcW w:type="dxa" w:w="8323"/>
            <w:tcMar>
              <w:top w:w="90" w:type="dxa"/>
              <w:start w:w="110" w:type="dxa"/>
              <w:bottom w:w="90" w:type="dxa"/>
              <w:end w:w="110" w:type="dxa"/>
            </w:tcMar>
            <w:vAlign w:val="top"/>
          </w:tcPr>
          <w:p>
            <w:pPr>
              <w:spacing w:after="40" w:line="240" w:lineRule="auto"/>
            </w:pPr>
            <w:r>
              <w:rPr>
                <w:rFonts w:ascii="Aptos" w:hAnsi="Aptos"/>
                <w:sz w:val="16"/>
              </w:rPr>
              <w:t>Authorised users can correct mappings and override a recommendation only with mandatory rationale; the original output remains visible.</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Lifecycle Effect</w:t>
            </w:r>
          </w:p>
        </w:tc>
        <w:tc>
          <w:tcPr>
            <w:tcW w:type="dxa" w:w="8323"/>
            <w:tcMar>
              <w:top w:w="90" w:type="dxa"/>
              <w:start w:w="110" w:type="dxa"/>
              <w:bottom w:w="90" w:type="dxa"/>
              <w:end w:w="110" w:type="dxa"/>
            </w:tcMar>
            <w:vAlign w:val="top"/>
          </w:tcPr>
          <w:p>
            <w:pPr>
              <w:spacing w:after="40" w:line="240" w:lineRule="auto"/>
            </w:pPr>
            <w:r>
              <w:rPr>
                <w:rFonts w:ascii="Aptos" w:hAnsi="Aptos"/>
                <w:sz w:val="16"/>
              </w:rPr>
              <w:t>The chosen scenario and approved bid terms feed award governance; no evaluation result itself records an award.</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Evidence &amp; Traceability</w:t>
            </w:r>
          </w:p>
        </w:tc>
        <w:tc>
          <w:tcPr>
            <w:tcW w:type="dxa" w:w="8323"/>
            <w:tcMar>
              <w:top w:w="90" w:type="dxa"/>
              <w:start w:w="110" w:type="dxa"/>
              <w:bottom w:w="90" w:type="dxa"/>
              <w:end w:w="110" w:type="dxa"/>
            </w:tcMar>
            <w:vAlign w:val="top"/>
          </w:tcPr>
          <w:p>
            <w:pPr>
              <w:spacing w:after="40" w:line="240" w:lineRule="auto"/>
            </w:pPr>
            <w:r>
              <w:rPr>
                <w:rFonts w:ascii="Aptos" w:hAnsi="Aptos"/>
                <w:sz w:val="16"/>
              </w:rPr>
              <w:t>Every gate, normalised value, score and recommendation links to source bid version, rule/formula, criteria version, timestamp and user/agent action.</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Acceptance Criteria</w:t>
            </w:r>
          </w:p>
        </w:tc>
        <w:tc>
          <w:tcPr>
            <w:tcW w:type="dxa" w:w="8323"/>
            <w:tcMar>
              <w:top w:w="90" w:type="dxa"/>
              <w:start w:w="110" w:type="dxa"/>
              <w:bottom w:w="90" w:type="dxa"/>
              <w:end w:w="110" w:type="dxa"/>
            </w:tcMar>
            <w:vAlign w:val="top"/>
          </w:tcPr>
          <w:p>
            <w:pPr>
              <w:pStyle w:val="ListBullet"/>
              <w:spacing w:after="40" w:line="240" w:lineRule="auto"/>
            </w:pPr>
            <w:r>
              <w:rPr>
                <w:rFonts w:ascii="Aptos" w:hAnsi="Aptos"/>
                <w:sz w:val="16"/>
              </w:rPr>
              <w:t>At least three materially different proposals are normalised while preserving originals.</w:t>
            </w:r>
          </w:p>
          <w:p>
            <w:pPr>
              <w:pStyle w:val="ListBullet"/>
              <w:spacing w:after="40" w:line="240" w:lineRule="auto"/>
            </w:pPr>
            <w:r>
              <w:rPr>
                <w:rFonts w:ascii="Aptos" w:hAnsi="Aptos"/>
                <w:sz w:val="16"/>
              </w:rPr>
              <w:t>Gates are separate from scoring and failed/missing evidence is explicit.</w:t>
            </w:r>
          </w:p>
          <w:p>
            <w:pPr>
              <w:pStyle w:val="ListBullet"/>
              <w:spacing w:after="40" w:line="240" w:lineRule="auto"/>
            </w:pPr>
            <w:r>
              <w:rPr>
                <w:rFonts w:ascii="Aptos" w:hAnsi="Aptos"/>
                <w:sz w:val="16"/>
              </w:rPr>
              <w:t>Incumbent history affects evaluation only through the approved visible method; challenger remains No History.</w:t>
            </w:r>
          </w:p>
          <w:p>
            <w:pPr>
              <w:pStyle w:val="ListBullet"/>
              <w:spacing w:after="40" w:line="240" w:lineRule="auto"/>
            </w:pPr>
            <w:r>
              <w:rPr>
                <w:rFonts w:ascii="Aptos" w:hAnsi="Aptos"/>
                <w:sz w:val="16"/>
              </w:rPr>
              <w:t>Recommendation shows cost, service, capacity/concentration, history and risk trade-offs with assumptions and links.</w:t>
            </w:r>
          </w:p>
        </w:tc>
      </w:tr>
    </w:tbl>
    <w:p>
      <w:pPr>
        <w:spacing w:after="20"/>
      </w:pPr>
    </w:p>
    <w:p>
      <w:pPr>
        <w:pStyle w:val="Heading1"/>
      </w:pPr>
      <w:r>
        <w:t>5. Award and Establish the Contract Baseline</w:t>
      </w:r>
    </w:p>
    <w:p>
      <w:pPr>
        <w:keepNext/>
        <w:spacing w:after="80"/>
      </w:pPr>
      <w:r>
        <w:rPr>
          <w:i/>
          <w:color w:val="1F2933"/>
        </w:rPr>
        <w:t>As an Approver / Finance stakeholder, I want a complete recommendation and explicit approval workflow so the recorded award is authorised, explainable and becomes the post-award performance baseline.</w:t>
      </w:r>
    </w:p>
    <w:p>
      <w:pPr>
        <w:keepNext/>
        <w:spacing w:after="140"/>
      </w:pPr>
      <w:r>
        <w:rPr>
          <w:b/>
        </w:rPr>
        <w:t xml:space="preserve">BRD basis: </w:t>
      </w:r>
      <w:r>
        <w:t>Sections 6, 7 (FR-11 to FR-13, FR-21 and FR-22), 9, 10, 12, 13 and 15; AC-01, AC-06 to AC-08 and AC-12.</w:t>
      </w:r>
    </w:p>
    <w:tbl>
      <w:tblPr>
        <w:tblW w:type="auto" w:w="0"/>
        <w:jc w:val="center"/>
        <w:tblLayout w:type="fixed"/>
        <w:tblLook w:firstColumn="1" w:firstRow="1" w:lastColumn="0" w:lastRow="0" w:noHBand="0" w:noVBand="1" w:val="04A0"/>
        <w:tblBorders>
          <w:top w:val="single" w:sz="4" w:color="B8C7D9"/>
          <w:left w:val="single" w:sz="4" w:color="B8C7D9"/>
          <w:bottom w:val="single" w:sz="4" w:color="B8C7D9"/>
          <w:right w:val="single" w:sz="4" w:color="B8C7D9"/>
          <w:insideH w:val="single" w:sz="4" w:color="B8C7D9"/>
          <w:insideV w:val="single" w:sz="4" w:color="B8C7D9"/>
        </w:tblBorders>
      </w:tblPr>
      <w:tblGrid>
        <w:gridCol w:w="2477"/>
        <w:gridCol w:w="8323"/>
      </w:tblGrid>
      <w:tr>
        <w:trPr>
          <w:cantSplit/>
        </w:trPr>
        <w:tc>
          <w:tcPr>
            <w:tcW w:type="dxa" w:w="2477"/>
            <w:tcMar>
              <w:top w:w="90" w:type="dxa"/>
              <w:start w:w="110" w:type="dxa"/>
              <w:bottom w:w="90" w:type="dxa"/>
              <w:end w:w="110" w:type="dxa"/>
            </w:tcMar>
            <w:vAlign w:val="top"/>
            <w:shd w:fill="17365D"/>
          </w:tcPr>
          <w:p>
            <w:pPr>
              <w:spacing w:after="40" w:line="240" w:lineRule="auto"/>
            </w:pPr>
            <w:r>
              <w:rPr>
                <w:rFonts w:ascii="Aptos" w:hAnsi="Aptos"/>
                <w:b/>
                <w:color w:val="FFFFFF"/>
                <w:sz w:val="16"/>
              </w:rPr>
              <w:t>Persona &amp; Decision</w:t>
            </w:r>
          </w:p>
        </w:tc>
        <w:tc>
          <w:tcPr>
            <w:tcW w:type="dxa" w:w="8323"/>
            <w:tcMar>
              <w:top w:w="90" w:type="dxa"/>
              <w:start w:w="110" w:type="dxa"/>
              <w:bottom w:w="90" w:type="dxa"/>
              <w:end w:w="110" w:type="dxa"/>
            </w:tcMar>
            <w:vAlign w:val="top"/>
          </w:tcPr>
          <w:p>
            <w:pPr>
              <w:spacing w:after="40" w:line="240" w:lineRule="auto"/>
            </w:pPr>
            <w:r>
              <w:rPr>
                <w:rFonts w:ascii="Aptos" w:hAnsi="Aptos"/>
                <w:sz w:val="16"/>
              </w:rPr>
              <w:t>Approver / Finance, supported by Procurement, Logistics and Legal/Compliance. Decide whether to approve or return the recommendation for revision.</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Metrics &amp; Data</w:t>
            </w:r>
          </w:p>
        </w:tc>
        <w:tc>
          <w:tcPr>
            <w:tcW w:type="dxa" w:w="8323"/>
            <w:tcMar>
              <w:top w:w="90" w:type="dxa"/>
              <w:start w:w="110" w:type="dxa"/>
              <w:bottom w:w="90" w:type="dxa"/>
              <w:end w:w="110" w:type="dxa"/>
            </w:tcMar>
            <w:vAlign w:val="top"/>
          </w:tcPr>
          <w:p>
            <w:pPr>
              <w:pStyle w:val="ListBullet"/>
              <w:spacing w:after="40" w:line="240" w:lineRule="auto"/>
            </w:pPr>
            <w:r>
              <w:rPr>
                <w:rFonts w:ascii="Aptos" w:hAnsi="Aptos"/>
                <w:sz w:val="16"/>
              </w:rPr>
              <w:t>Recommended and alternative scenarios; normalised cost, service, capacity, concentration, vendor history and transition risks.</w:t>
            </w:r>
          </w:p>
          <w:p>
            <w:pPr>
              <w:pStyle w:val="ListBullet"/>
              <w:spacing w:after="40" w:line="240" w:lineRule="auto"/>
            </w:pPr>
            <w:r>
              <w:rPr>
                <w:rFonts w:ascii="Aptos" w:hAnsi="Aptos"/>
                <w:sz w:val="16"/>
              </w:rPr>
              <w:t>Approved bid/contract lanes, rates, forecast volumes, capacity, SLAs/KPIs, thresholds, governance and renewal terms.</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Trend / Change</w:t>
            </w:r>
          </w:p>
        </w:tc>
        <w:tc>
          <w:tcPr>
            <w:tcW w:type="dxa" w:w="8323"/>
            <w:tcMar>
              <w:top w:w="90" w:type="dxa"/>
              <w:start w:w="110" w:type="dxa"/>
              <w:bottom w:w="90" w:type="dxa"/>
              <w:end w:w="110" w:type="dxa"/>
            </w:tcMar>
            <w:vAlign w:val="top"/>
          </w:tcPr>
          <w:p>
            <w:pPr>
              <w:spacing w:after="40" w:line="240" w:lineRule="auto"/>
            </w:pPr>
            <w:r>
              <w:rPr>
                <w:rFonts w:ascii="Aptos" w:hAnsi="Aptos"/>
                <w:sz w:val="16"/>
              </w:rPr>
              <w:t>Track recommendation versions, approver comments, return/revision cycles and final human authorisation.</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Drivers &amp; Evidence</w:t>
            </w:r>
          </w:p>
        </w:tc>
        <w:tc>
          <w:tcPr>
            <w:tcW w:type="dxa" w:w="8323"/>
            <w:tcMar>
              <w:top w:w="90" w:type="dxa"/>
              <w:start w:w="110" w:type="dxa"/>
              <w:bottom w:w="90" w:type="dxa"/>
              <w:end w:w="110" w:type="dxa"/>
            </w:tcMar>
            <w:vAlign w:val="top"/>
          </w:tcPr>
          <w:p>
            <w:pPr>
              <w:spacing w:after="40" w:line="240" w:lineRule="auto"/>
            </w:pPr>
            <w:r>
              <w:rPr>
                <w:rFonts w:ascii="Aptos" w:hAnsi="Aptos"/>
                <w:sz w:val="16"/>
              </w:rPr>
              <w:t>Recommendation states rationale, key assumptions, unresolved exceptions, expected supported impact and evidence gaps.</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Qualification</w:t>
            </w:r>
          </w:p>
        </w:tc>
        <w:tc>
          <w:tcPr>
            <w:tcW w:type="dxa" w:w="8323"/>
            <w:tcMar>
              <w:top w:w="90" w:type="dxa"/>
              <w:start w:w="110" w:type="dxa"/>
              <w:bottom w:w="90" w:type="dxa"/>
              <w:end w:w="110" w:type="dxa"/>
            </w:tcMar>
            <w:vAlign w:val="top"/>
          </w:tcPr>
          <w:p>
            <w:pPr>
              <w:spacing w:after="40" w:line="240" w:lineRule="auto"/>
            </w:pPr>
            <w:r>
              <w:rPr>
                <w:rFonts w:ascii="Aptos" w:hAnsi="Aptos"/>
                <w:sz w:val="16"/>
              </w:rPr>
              <w:t>An award is recorded only after named human approval. A returned recommendation remains unapproved and requires revision.</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Action</w:t>
            </w:r>
          </w:p>
        </w:tc>
        <w:tc>
          <w:tcPr>
            <w:tcW w:type="dxa" w:w="8323"/>
            <w:tcMar>
              <w:top w:w="90" w:type="dxa"/>
              <w:start w:w="110" w:type="dxa"/>
              <w:bottom w:w="90" w:type="dxa"/>
              <w:end w:w="110" w:type="dxa"/>
            </w:tcMar>
            <w:vAlign w:val="top"/>
          </w:tcPr>
          <w:p>
            <w:pPr>
              <w:spacing w:after="40" w:line="240" w:lineRule="auto"/>
            </w:pPr>
            <w:r>
              <w:rPr>
                <w:rFonts w:ascii="Aptos" w:hAnsi="Aptos"/>
                <w:sz w:val="16"/>
              </w:rPr>
              <w:t>Approve, return for revision with comments, or apply an authorised override with rationale. On approval, create the contract performance baseline without manual re-keying in the demo flow.</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Expected Impact / Exposure</w:t>
            </w:r>
          </w:p>
        </w:tc>
        <w:tc>
          <w:tcPr>
            <w:tcW w:type="dxa" w:w="8323"/>
            <w:tcMar>
              <w:top w:w="90" w:type="dxa"/>
              <w:start w:w="110" w:type="dxa"/>
              <w:bottom w:w="90" w:type="dxa"/>
              <w:end w:w="110" w:type="dxa"/>
            </w:tcMar>
            <w:vAlign w:val="top"/>
          </w:tcPr>
          <w:p>
            <w:pPr>
              <w:spacing w:after="40" w:line="240" w:lineRule="auto"/>
            </w:pPr>
            <w:r>
              <w:rPr>
                <w:rFonts w:ascii="Aptos" w:hAnsi="Aptos"/>
                <w:sz w:val="16"/>
              </w:rPr>
              <w:t>Retain supported cost and service implications; estimates remain labelled and unsupported outcomes are not presented as facts.</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Confidence &amp; Gaps</w:t>
            </w:r>
          </w:p>
        </w:tc>
        <w:tc>
          <w:tcPr>
            <w:tcW w:type="dxa" w:w="8323"/>
            <w:tcMar>
              <w:top w:w="90" w:type="dxa"/>
              <w:start w:w="110" w:type="dxa"/>
              <w:bottom w:w="90" w:type="dxa"/>
              <w:end w:w="110" w:type="dxa"/>
            </w:tcMar>
            <w:vAlign w:val="top"/>
          </w:tcPr>
          <w:p>
            <w:pPr>
              <w:spacing w:after="40" w:line="240" w:lineRule="auto"/>
            </w:pPr>
            <w:r>
              <w:rPr>
                <w:rFonts w:ascii="Aptos" w:hAnsi="Aptos"/>
                <w:sz w:val="16"/>
              </w:rPr>
              <w:t>Approval view highlights incomplete evidence, unresolved commercial/service exceptions and confidence limitations.</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User Control</w:t>
            </w:r>
          </w:p>
        </w:tc>
        <w:tc>
          <w:tcPr>
            <w:tcW w:type="dxa" w:w="8323"/>
            <w:tcMar>
              <w:top w:w="90" w:type="dxa"/>
              <w:start w:w="110" w:type="dxa"/>
              <w:bottom w:w="90" w:type="dxa"/>
              <w:end w:w="110" w:type="dxa"/>
            </w:tcMar>
            <w:vAlign w:val="top"/>
          </w:tcPr>
          <w:p>
            <w:pPr>
              <w:spacing w:after="40" w:line="240" w:lineRule="auto"/>
            </w:pPr>
            <w:r>
              <w:rPr>
                <w:rFonts w:ascii="Aptos" w:hAnsi="Aptos"/>
                <w:sz w:val="16"/>
              </w:rPr>
              <w:t>Named approver controls the decision. Compass cannot autonomously award, sign, pay, send commitments or update systems of record.</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Lifecycle Effect</w:t>
            </w:r>
          </w:p>
        </w:tc>
        <w:tc>
          <w:tcPr>
            <w:tcW w:type="dxa" w:w="8323"/>
            <w:tcMar>
              <w:top w:w="90" w:type="dxa"/>
              <w:start w:w="110" w:type="dxa"/>
              <w:bottom w:w="90" w:type="dxa"/>
              <w:end w:w="110" w:type="dxa"/>
            </w:tcMar>
            <w:vAlign w:val="top"/>
          </w:tcPr>
          <w:p>
            <w:pPr>
              <w:spacing w:after="40" w:line="240" w:lineRule="auto"/>
            </w:pPr>
            <w:r>
              <w:rPr>
                <w:rFonts w:ascii="Aptos" w:hAnsi="Aptos"/>
                <w:sz w:val="16"/>
              </w:rPr>
              <w:t>Approved winning commitments transition into KPI/SLA, rate, lane, volume, capacity and governance obligations for monitoring.</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Evidence &amp; Traceability</w:t>
            </w:r>
          </w:p>
        </w:tc>
        <w:tc>
          <w:tcPr>
            <w:tcW w:type="dxa" w:w="8323"/>
            <w:tcMar>
              <w:top w:w="90" w:type="dxa"/>
              <w:start w:w="110" w:type="dxa"/>
              <w:bottom w:w="90" w:type="dxa"/>
              <w:end w:w="110" w:type="dxa"/>
            </w:tcMar>
            <w:vAlign w:val="top"/>
          </w:tcPr>
          <w:p>
            <w:pPr>
              <w:spacing w:after="40" w:line="240" w:lineRule="auto"/>
            </w:pPr>
            <w:r>
              <w:rPr>
                <w:rFonts w:ascii="Aptos" w:hAnsi="Aptos"/>
                <w:sz w:val="16"/>
              </w:rPr>
              <w:t>Retain recommendation, alternatives, evidence, criteria/version, approver, decision, comments, timestamp and any override rationale.</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Acceptance Criteria</w:t>
            </w:r>
          </w:p>
        </w:tc>
        <w:tc>
          <w:tcPr>
            <w:tcW w:type="dxa" w:w="8323"/>
            <w:tcMar>
              <w:top w:w="90" w:type="dxa"/>
              <w:start w:w="110" w:type="dxa"/>
              <w:bottom w:w="90" w:type="dxa"/>
              <w:end w:w="110" w:type="dxa"/>
            </w:tcMar>
            <w:vAlign w:val="top"/>
          </w:tcPr>
          <w:p>
            <w:pPr>
              <w:pStyle w:val="ListBullet"/>
              <w:spacing w:after="40" w:line="240" w:lineRule="auto"/>
            </w:pPr>
            <w:r>
              <w:rPr>
                <w:rFonts w:ascii="Aptos" w:hAnsi="Aptos"/>
                <w:sz w:val="16"/>
              </w:rPr>
              <w:t>Human approval or return-for-revision is required and retained.</w:t>
            </w:r>
          </w:p>
          <w:p>
            <w:pPr>
              <w:pStyle w:val="ListBullet"/>
              <w:spacing w:after="40" w:line="240" w:lineRule="auto"/>
            </w:pPr>
            <w:r>
              <w:rPr>
                <w:rFonts w:ascii="Aptos" w:hAnsi="Aptos"/>
                <w:sz w:val="16"/>
              </w:rPr>
              <w:t>Awarded commitments become a visible baseline without manual re-keying in the demonstration.</w:t>
            </w:r>
          </w:p>
          <w:p>
            <w:pPr>
              <w:pStyle w:val="ListBullet"/>
              <w:spacing w:after="40" w:line="240" w:lineRule="auto"/>
            </w:pPr>
            <w:r>
              <w:rPr>
                <w:rFonts w:ascii="Aptos" w:hAnsi="Aptos"/>
                <w:sz w:val="16"/>
              </w:rPr>
              <w:t>A reviewer can trace requirements, evaluation method, recommendation, approval and baseline.</w:t>
            </w:r>
          </w:p>
        </w:tc>
      </w:tr>
    </w:tbl>
    <w:p>
      <w:pPr>
        <w:spacing w:after="20"/>
      </w:pPr>
    </w:p>
    <w:p>
      <w:pPr>
        <w:pStyle w:val="Heading1"/>
      </w:pPr>
      <w:r>
        <w:t>6. Monitor Vendor and Contract Performance</w:t>
      </w:r>
    </w:p>
    <w:p>
      <w:pPr>
        <w:keepNext/>
        <w:spacing w:after="80"/>
      </w:pPr>
      <w:r>
        <w:rPr>
          <w:i/>
          <w:color w:val="1F2933"/>
        </w:rPr>
        <w:t>As a Supplier / Carrier Manager, I want one evidence-backed vendor profile and explainable performance score so I understand the relationship, what changed and whether enough verified history exists to act.</w:t>
      </w:r>
    </w:p>
    <w:p>
      <w:pPr>
        <w:keepNext/>
        <w:spacing w:after="140"/>
      </w:pPr>
      <w:r>
        <w:rPr>
          <w:b/>
        </w:rPr>
        <w:t xml:space="preserve">BRD basis: </w:t>
      </w:r>
      <w:r>
        <w:t>Sections 3, 7 (FR-14 to FR-16, FR-21 to FR-23), 8, 10, 12 and 13; AC-05, AC-09, AC-10 and AC-12.</w:t>
      </w:r>
    </w:p>
    <w:tbl>
      <w:tblPr>
        <w:tblW w:type="auto" w:w="0"/>
        <w:jc w:val="center"/>
        <w:tblLayout w:type="fixed"/>
        <w:tblLook w:firstColumn="1" w:firstRow="1" w:lastColumn="0" w:lastRow="0" w:noHBand="0" w:noVBand="1" w:val="04A0"/>
        <w:tblBorders>
          <w:top w:val="single" w:sz="4" w:color="B8C7D9"/>
          <w:left w:val="single" w:sz="4" w:color="B8C7D9"/>
          <w:bottom w:val="single" w:sz="4" w:color="B8C7D9"/>
          <w:right w:val="single" w:sz="4" w:color="B8C7D9"/>
          <w:insideH w:val="single" w:sz="4" w:color="B8C7D9"/>
          <w:insideV w:val="single" w:sz="4" w:color="B8C7D9"/>
        </w:tblBorders>
      </w:tblPr>
      <w:tblGrid>
        <w:gridCol w:w="2477"/>
        <w:gridCol w:w="8323"/>
      </w:tblGrid>
      <w:tr>
        <w:trPr>
          <w:cantSplit/>
        </w:trPr>
        <w:tc>
          <w:tcPr>
            <w:tcW w:type="dxa" w:w="2477"/>
            <w:tcMar>
              <w:top w:w="90" w:type="dxa"/>
              <w:start w:w="110" w:type="dxa"/>
              <w:bottom w:w="90" w:type="dxa"/>
              <w:end w:w="110" w:type="dxa"/>
            </w:tcMar>
            <w:vAlign w:val="top"/>
            <w:shd w:fill="17365D"/>
          </w:tcPr>
          <w:p>
            <w:pPr>
              <w:spacing w:after="40" w:line="240" w:lineRule="auto"/>
            </w:pPr>
            <w:r>
              <w:rPr>
                <w:rFonts w:ascii="Aptos" w:hAnsi="Aptos"/>
                <w:b/>
                <w:color w:val="FFFFFF"/>
                <w:sz w:val="16"/>
              </w:rPr>
              <w:t>Persona &amp; Decision</w:t>
            </w:r>
          </w:p>
        </w:tc>
        <w:tc>
          <w:tcPr>
            <w:tcW w:type="dxa" w:w="8323"/>
            <w:tcMar>
              <w:top w:w="90" w:type="dxa"/>
              <w:start w:w="110" w:type="dxa"/>
              <w:bottom w:w="90" w:type="dxa"/>
              <w:end w:w="110" w:type="dxa"/>
            </w:tcMar>
            <w:vAlign w:val="top"/>
          </w:tcPr>
          <w:p>
            <w:pPr>
              <w:spacing w:after="40" w:line="240" w:lineRule="auto"/>
            </w:pPr>
            <w:r>
              <w:rPr>
                <w:rFonts w:ascii="Aptos" w:hAnsi="Aptos"/>
                <w:sz w:val="16"/>
              </w:rPr>
              <w:t>Supplier / Carrier Manager, Procurement and Logistics. Decide whether the vendor record and score are sufficiently supported and what relationship or sourcing consequence warrants attention.</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Metrics &amp; Data</w:t>
            </w:r>
          </w:p>
        </w:tc>
        <w:tc>
          <w:tcPr>
            <w:tcW w:type="dxa" w:w="8323"/>
            <w:tcMar>
              <w:top w:w="90" w:type="dxa"/>
              <w:start w:w="110" w:type="dxa"/>
              <w:bottom w:w="90" w:type="dxa"/>
              <w:end w:w="110" w:type="dxa"/>
            </w:tcMar>
            <w:vAlign w:val="top"/>
          </w:tcPr>
          <w:p>
            <w:pPr>
              <w:pStyle w:val="ListBullet"/>
              <w:spacing w:after="40" w:line="240" w:lineRule="auto"/>
            </w:pPr>
            <w:r>
              <w:rPr>
                <w:rFonts w:ascii="Aptos" w:hAnsi="Aptos"/>
                <w:sz w:val="16"/>
              </w:rPr>
              <w:t>Relationship, services, regions, lanes, contracts, spend, sourcing participation, awards/losses and rate history.</w:t>
            </w:r>
          </w:p>
          <w:p>
            <w:pPr>
              <w:pStyle w:val="ListBullet"/>
              <w:spacing w:after="40" w:line="240" w:lineRule="auto"/>
            </w:pPr>
            <w:r>
              <w:rPr>
                <w:rFonts w:ascii="Aptos" w:hAnsi="Aptos"/>
                <w:sz w:val="16"/>
              </w:rPr>
              <w:t>Operational KPIs, contract/SLA results, invoices/rate compliance, claims, incidents, reviews and corrective actions.</w:t>
            </w:r>
          </w:p>
          <w:p>
            <w:pPr>
              <w:pStyle w:val="ListBullet"/>
              <w:spacing w:after="40" w:line="240" w:lineRule="auto"/>
            </w:pPr>
            <w:r>
              <w:rPr>
                <w:rFonts w:ascii="Aptos" w:hAnsi="Aptos"/>
                <w:sz w:val="16"/>
              </w:rPr>
              <w:t>Illustrative configurable dimensions: Operational 40%, Commercial 25%, Contract/SLA 20%, Relationship &amp; Responsiveness 15%.</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Trend / Change</w:t>
            </w:r>
          </w:p>
        </w:tc>
        <w:tc>
          <w:tcPr>
            <w:tcW w:type="dxa" w:w="8323"/>
            <w:tcMar>
              <w:top w:w="90" w:type="dxa"/>
              <w:start w:w="110" w:type="dxa"/>
              <w:bottom w:w="90" w:type="dxa"/>
              <w:end w:w="110" w:type="dxa"/>
            </w:tcMar>
            <w:vAlign w:val="top"/>
          </w:tcPr>
          <w:p>
            <w:pPr>
              <w:spacing w:after="40" w:line="240" w:lineRule="auto"/>
            </w:pPr>
            <w:r>
              <w:rPr>
                <w:rFonts w:ascii="Aptos" w:hAnsi="Aptos"/>
                <w:sz w:val="16"/>
              </w:rPr>
              <w:t>Show score and component movement, performance direction, affected period, lanes/shipments, incidents and unresolved actions.</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Drivers &amp; Evidence</w:t>
            </w:r>
          </w:p>
        </w:tc>
        <w:tc>
          <w:tcPr>
            <w:tcW w:type="dxa" w:w="8323"/>
            <w:tcMar>
              <w:top w:w="90" w:type="dxa"/>
              <w:start w:w="110" w:type="dxa"/>
              <w:bottom w:w="90" w:type="dxa"/>
              <w:end w:w="110" w:type="dxa"/>
            </w:tcMar>
            <w:vAlign w:val="top"/>
          </w:tcPr>
          <w:p>
            <w:pPr>
              <w:spacing w:after="40" w:line="240" w:lineRule="auto"/>
            </w:pPr>
            <w:r>
              <w:rPr>
                <w:rFonts w:ascii="Aptos" w:hAnsi="Aptos"/>
                <w:sz w:val="16"/>
              </w:rPr>
              <w:t>Expose formula, weights, period, targets, source records, processing time and primary drivers. Separate source facts, calculated metrics and agent explanations.</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Qualification</w:t>
            </w:r>
          </w:p>
        </w:tc>
        <w:tc>
          <w:tcPr>
            <w:tcW w:type="dxa" w:w="8323"/>
            <w:tcMar>
              <w:top w:w="90" w:type="dxa"/>
              <w:start w:w="110" w:type="dxa"/>
              <w:bottom w:w="90" w:type="dxa"/>
              <w:end w:w="110" w:type="dxa"/>
            </w:tcMar>
            <w:vAlign w:val="top"/>
          </w:tcPr>
          <w:p>
            <w:pPr>
              <w:spacing w:after="40" w:line="240" w:lineRule="auto"/>
            </w:pPr>
            <w:r>
              <w:rPr>
                <w:rFonts w:ascii="Aptos" w:hAnsi="Aptos"/>
                <w:sz w:val="16"/>
              </w:rPr>
              <w:t>Show a total score only when approved minimum evidence is met. New/unobserved vendors remain No History. Qualitative inputs require author, date, scale and commentary; free-form sentiment alone cannot determine a score.</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Action</w:t>
            </w:r>
          </w:p>
        </w:tc>
        <w:tc>
          <w:tcPr>
            <w:tcW w:type="dxa" w:w="8323"/>
            <w:tcMar>
              <w:top w:w="90" w:type="dxa"/>
              <w:start w:w="110" w:type="dxa"/>
              <w:bottom w:w="90" w:type="dxa"/>
              <w:end w:w="110" w:type="dxa"/>
            </w:tcMar>
            <w:vAlign w:val="top"/>
          </w:tcPr>
          <w:p>
            <w:pPr>
              <w:spacing w:after="40" w:line="240" w:lineRule="auto"/>
            </w:pPr>
            <w:r>
              <w:rPr>
                <w:rFonts w:ascii="Aptos" w:hAnsi="Aptos"/>
                <w:sz w:val="16"/>
              </w:rPr>
              <w:t>Inspect evidence, correct data, request review, initiate an explainable action, or use approved history as sourcing decision evidence.</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Expected Impact / Exposure</w:t>
            </w:r>
          </w:p>
        </w:tc>
        <w:tc>
          <w:tcPr>
            <w:tcW w:type="dxa" w:w="8323"/>
            <w:tcMar>
              <w:top w:w="90" w:type="dxa"/>
              <w:start w:w="110" w:type="dxa"/>
              <w:bottom w:w="90" w:type="dxa"/>
              <w:end w:w="110" w:type="dxa"/>
            </w:tcMar>
            <w:vAlign w:val="top"/>
          </w:tcPr>
          <w:p>
            <w:pPr>
              <w:spacing w:after="40" w:line="240" w:lineRule="auto"/>
            </w:pPr>
            <w:r>
              <w:rPr>
                <w:rFonts w:ascii="Aptos" w:hAnsi="Aptos"/>
                <w:sz w:val="16"/>
              </w:rPr>
              <w:t>Show supported spend, contract, service or incident exposure; score movement is not itself a financial outcome.</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Confidence &amp; Gaps</w:t>
            </w:r>
          </w:p>
        </w:tc>
        <w:tc>
          <w:tcPr>
            <w:tcW w:type="dxa" w:w="8323"/>
            <w:tcMar>
              <w:top w:w="90" w:type="dxa"/>
              <w:start w:w="110" w:type="dxa"/>
              <w:bottom w:w="90" w:type="dxa"/>
              <w:end w:w="110" w:type="dxa"/>
            </w:tcMar>
            <w:vAlign w:val="top"/>
          </w:tcPr>
          <w:p>
            <w:pPr>
              <w:spacing w:after="40" w:line="240" w:lineRule="auto"/>
            </w:pPr>
            <w:r>
              <w:rPr>
                <w:rFonts w:ascii="Aptos" w:hAnsi="Aptos"/>
                <w:sz w:val="16"/>
              </w:rPr>
              <w:t>Display freshness, completeness, conflicts and missing component evidence. Block unsupported calculations rather than silently imputing.</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User Control</w:t>
            </w:r>
          </w:p>
        </w:tc>
        <w:tc>
          <w:tcPr>
            <w:tcW w:type="dxa" w:w="8323"/>
            <w:tcMar>
              <w:top w:w="90" w:type="dxa"/>
              <w:start w:w="110" w:type="dxa"/>
              <w:bottom w:w="90" w:type="dxa"/>
              <w:end w:w="110" w:type="dxa"/>
            </w:tcMar>
            <w:vAlign w:val="top"/>
          </w:tcPr>
          <w:p>
            <w:pPr>
              <w:spacing w:after="40" w:line="240" w:lineRule="auto"/>
            </w:pPr>
            <w:r>
              <w:rPr>
                <w:rFonts w:ascii="Aptos" w:hAnsi="Aptos"/>
                <w:sz w:val="16"/>
              </w:rPr>
              <w:t>Authorised users configure approved metrics/weights/thresholds and may override an agent recommendation with reason; source evidence is not overwritten.</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Lifecycle Effect</w:t>
            </w:r>
          </w:p>
        </w:tc>
        <w:tc>
          <w:tcPr>
            <w:tcW w:type="dxa" w:w="8323"/>
            <w:tcMar>
              <w:top w:w="90" w:type="dxa"/>
              <w:start w:w="110" w:type="dxa"/>
              <w:bottom w:w="90" w:type="dxa"/>
              <w:end w:w="110" w:type="dxa"/>
            </w:tcMar>
            <w:vAlign w:val="top"/>
          </w:tcPr>
          <w:p>
            <w:pPr>
              <w:spacing w:after="40" w:line="240" w:lineRule="auto"/>
            </w:pPr>
            <w:r>
              <w:rPr>
                <w:rFonts w:ascii="Aptos" w:hAnsi="Aptos"/>
                <w:sz w:val="16"/>
              </w:rPr>
              <w:t>Only verified execution outcomes enrich Vendor 360 and become eligible evidence for future evaluation and renewal.</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Evidence &amp; Traceability</w:t>
            </w:r>
          </w:p>
        </w:tc>
        <w:tc>
          <w:tcPr>
            <w:tcW w:type="dxa" w:w="8323"/>
            <w:tcMar>
              <w:top w:w="90" w:type="dxa"/>
              <w:start w:w="110" w:type="dxa"/>
              <w:bottom w:w="90" w:type="dxa"/>
              <w:end w:w="110" w:type="dxa"/>
            </w:tcMar>
            <w:vAlign w:val="top"/>
          </w:tcPr>
          <w:p>
            <w:pPr>
              <w:spacing w:after="40" w:line="240" w:lineRule="auto"/>
            </w:pPr>
            <w:r>
              <w:rPr>
                <w:rFonts w:ascii="Aptos" w:hAnsi="Aptos"/>
                <w:sz w:val="16"/>
              </w:rPr>
              <w:t>Each metric and score retains source, formula/version, target, weight, period, timestamp and user/agent action.</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Acceptance Criteria</w:t>
            </w:r>
          </w:p>
        </w:tc>
        <w:tc>
          <w:tcPr>
            <w:tcW w:type="dxa" w:w="8323"/>
            <w:tcMar>
              <w:top w:w="90" w:type="dxa"/>
              <w:start w:w="110" w:type="dxa"/>
              <w:bottom w:w="90" w:type="dxa"/>
              <w:end w:w="110" w:type="dxa"/>
            </w:tcMar>
            <w:vAlign w:val="top"/>
          </w:tcPr>
          <w:p>
            <w:pPr>
              <w:pStyle w:val="ListBullet"/>
              <w:spacing w:after="40" w:line="240" w:lineRule="auto"/>
            </w:pPr>
            <w:r>
              <w:rPr>
                <w:rFonts w:ascii="Aptos" w:hAnsi="Aptos"/>
                <w:sz w:val="16"/>
              </w:rPr>
              <w:t>Vendor 360 shows sourcing, contract, execution, score and corrective-action history with source and recency.</w:t>
            </w:r>
          </w:p>
          <w:p>
            <w:pPr>
              <w:pStyle w:val="ListBullet"/>
              <w:spacing w:after="40" w:line="240" w:lineRule="auto"/>
            </w:pPr>
            <w:r>
              <w:rPr>
                <w:rFonts w:ascii="Aptos" w:hAnsi="Aptos"/>
                <w:sz w:val="16"/>
              </w:rPr>
              <w:t>Post-award variance changes component metrics and total score reproducibly.</w:t>
            </w:r>
          </w:p>
          <w:p>
            <w:pPr>
              <w:pStyle w:val="ListBullet"/>
              <w:spacing w:after="40" w:line="240" w:lineRule="auto"/>
            </w:pPr>
            <w:r>
              <w:rPr>
                <w:rFonts w:ascii="Aptos" w:hAnsi="Aptos"/>
                <w:sz w:val="16"/>
              </w:rPr>
              <w:t>No History is shown without invented or penalizing values.</w:t>
            </w:r>
          </w:p>
          <w:p>
            <w:pPr>
              <w:pStyle w:val="ListBullet"/>
              <w:spacing w:after="40" w:line="240" w:lineRule="auto"/>
            </w:pPr>
            <w:r>
              <w:rPr>
                <w:rFonts w:ascii="Aptos" w:hAnsi="Aptos"/>
                <w:sz w:val="16"/>
              </w:rPr>
              <w:t>Synthetic values are unmistakably labelled.</w:t>
            </w:r>
          </w:p>
        </w:tc>
      </w:tr>
    </w:tbl>
    <w:p>
      <w:pPr>
        <w:spacing w:after="20"/>
      </w:pPr>
    </w:p>
    <w:p>
      <w:pPr>
        <w:pStyle w:val="Heading1"/>
      </w:pPr>
      <w:r>
        <w:t>7. Act on Performance Exceptions</w:t>
      </w:r>
    </w:p>
    <w:p>
      <w:pPr>
        <w:keepNext/>
        <w:spacing w:after="80"/>
      </w:pPr>
      <w:r>
        <w:rPr>
          <w:i/>
          <w:color w:val="1F2933"/>
        </w:rPr>
        <w:t>As a Supplier / Carrier Manager and Logistics operator, I want Compass to compare actual execution with awarded commitments and create governed actions so deterioration or leakage is understood and addressed.</w:t>
      </w:r>
    </w:p>
    <w:p>
      <w:pPr>
        <w:keepNext/>
        <w:spacing w:after="140"/>
      </w:pPr>
      <w:r>
        <w:rPr>
          <w:b/>
        </w:rPr>
        <w:t xml:space="preserve">BRD basis: </w:t>
      </w:r>
      <w:r>
        <w:t>Sections 6, 7 (FR-01, FR-02, FR-13, FR-17 to FR-19, FR-21 to FR-23), 8, 10, 12, 13 and 15; AC-01, AC-09, AC-10 and AC-12.</w:t>
      </w:r>
    </w:p>
    <w:tbl>
      <w:tblPr>
        <w:tblW w:type="auto" w:w="0"/>
        <w:jc w:val="center"/>
        <w:tblLayout w:type="fixed"/>
        <w:tblLook w:firstColumn="1" w:firstRow="1" w:lastColumn="0" w:lastRow="0" w:noHBand="0" w:noVBand="1" w:val="04A0"/>
        <w:tblBorders>
          <w:top w:val="single" w:sz="4" w:color="B8C7D9"/>
          <w:left w:val="single" w:sz="4" w:color="B8C7D9"/>
          <w:bottom w:val="single" w:sz="4" w:color="B8C7D9"/>
          <w:right w:val="single" w:sz="4" w:color="B8C7D9"/>
          <w:insideH w:val="single" w:sz="4" w:color="B8C7D9"/>
          <w:insideV w:val="single" w:sz="4" w:color="B8C7D9"/>
        </w:tblBorders>
      </w:tblPr>
      <w:tblGrid>
        <w:gridCol w:w="2477"/>
        <w:gridCol w:w="8323"/>
      </w:tblGrid>
      <w:tr>
        <w:trPr>
          <w:cantSplit/>
        </w:trPr>
        <w:tc>
          <w:tcPr>
            <w:tcW w:type="dxa" w:w="2477"/>
            <w:tcMar>
              <w:top w:w="90" w:type="dxa"/>
              <w:start w:w="110" w:type="dxa"/>
              <w:bottom w:w="90" w:type="dxa"/>
              <w:end w:w="110" w:type="dxa"/>
            </w:tcMar>
            <w:vAlign w:val="top"/>
            <w:shd w:fill="17365D"/>
          </w:tcPr>
          <w:p>
            <w:pPr>
              <w:spacing w:after="40" w:line="240" w:lineRule="auto"/>
            </w:pPr>
            <w:r>
              <w:rPr>
                <w:rFonts w:ascii="Aptos" w:hAnsi="Aptos"/>
                <w:b/>
                <w:color w:val="FFFFFF"/>
                <w:sz w:val="16"/>
              </w:rPr>
              <w:t>Persona &amp; Decision</w:t>
            </w:r>
          </w:p>
        </w:tc>
        <w:tc>
          <w:tcPr>
            <w:tcW w:type="dxa" w:w="8323"/>
            <w:tcMar>
              <w:top w:w="90" w:type="dxa"/>
              <w:start w:w="110" w:type="dxa"/>
              <w:bottom w:w="90" w:type="dxa"/>
              <w:end w:w="110" w:type="dxa"/>
            </w:tcMar>
            <w:vAlign w:val="top"/>
          </w:tcPr>
          <w:p>
            <w:pPr>
              <w:spacing w:after="40" w:line="240" w:lineRule="auto"/>
            </w:pPr>
            <w:r>
              <w:rPr>
                <w:rFonts w:ascii="Aptos" w:hAnsi="Aptos"/>
                <w:sz w:val="16"/>
              </w:rPr>
              <w:t>Supplier / Carrier Manager and Logistics / Transportation Operations. Decide whether a performance or commercial exception requires review, corrective action or future allocation consideration.</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Metrics &amp; Data</w:t>
            </w:r>
          </w:p>
        </w:tc>
        <w:tc>
          <w:tcPr>
            <w:tcW w:type="dxa" w:w="8323"/>
            <w:tcMar>
              <w:top w:w="90" w:type="dxa"/>
              <w:start w:w="110" w:type="dxa"/>
              <w:bottom w:w="90" w:type="dxa"/>
              <w:end w:w="110" w:type="dxa"/>
            </w:tcMar>
            <w:vAlign w:val="top"/>
          </w:tcPr>
          <w:p>
            <w:pPr>
              <w:pStyle w:val="ListBullet"/>
              <w:spacing w:after="40" w:line="240" w:lineRule="auto"/>
            </w:pPr>
            <w:r>
              <w:rPr>
                <w:rFonts w:ascii="Aptos" w:hAnsi="Aptos"/>
                <w:sz w:val="16"/>
              </w:rPr>
              <w:t>Baseline and actual on-time pickup/delivery, acceptance, cancellations, capacity failures, claims, rate compliance and invoice accuracy.</w:t>
            </w:r>
          </w:p>
          <w:p>
            <w:pPr>
              <w:pStyle w:val="ListBullet"/>
              <w:spacing w:after="40" w:line="240" w:lineRule="auto"/>
            </w:pPr>
            <w:r>
              <w:rPr>
                <w:rFonts w:ascii="Aptos" w:hAnsi="Aptos"/>
                <w:sz w:val="16"/>
              </w:rPr>
              <w:t>Contract thresholds, affected lanes/shipments, incident severity, action owner/due date/status and closure evidence.</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Trend / Change</w:t>
            </w:r>
          </w:p>
        </w:tc>
        <w:tc>
          <w:tcPr>
            <w:tcW w:type="dxa" w:w="8323"/>
            <w:tcMar>
              <w:top w:w="90" w:type="dxa"/>
              <w:start w:w="110" w:type="dxa"/>
              <w:bottom w:w="90" w:type="dxa"/>
              <w:end w:w="110" w:type="dxa"/>
            </w:tcMar>
            <w:vAlign w:val="top"/>
          </w:tcPr>
          <w:p>
            <w:pPr>
              <w:spacing w:after="40" w:line="240" w:lineRule="auto"/>
            </w:pPr>
            <w:r>
              <w:rPr>
                <w:rFonts w:ascii="Aptos" w:hAnsi="Aptos"/>
                <w:sz w:val="16"/>
              </w:rPr>
              <w:t>Compare current period with contract target and prior periods; show score movement and whether deterioration is isolated, recurring, improving or sustained.</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Drivers &amp; Evidence</w:t>
            </w:r>
          </w:p>
        </w:tc>
        <w:tc>
          <w:tcPr>
            <w:tcW w:type="dxa" w:w="8323"/>
            <w:tcMar>
              <w:top w:w="90" w:type="dxa"/>
              <w:start w:w="110" w:type="dxa"/>
              <w:bottom w:w="90" w:type="dxa"/>
              <w:end w:w="110" w:type="dxa"/>
            </w:tcMar>
            <w:vAlign w:val="top"/>
          </w:tcPr>
          <w:p>
            <w:pPr>
              <w:spacing w:after="40" w:line="240" w:lineRule="auto"/>
            </w:pPr>
            <w:r>
              <w:rPr>
                <w:rFonts w:ascii="Aptos" w:hAnsi="Aptos"/>
                <w:sz w:val="16"/>
              </w:rPr>
              <w:t>State what changed, against which baseline, over what period, from which records and why it matters. Identify affected lanes/shipments and main score drivers.</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Qualification</w:t>
            </w:r>
          </w:p>
        </w:tc>
        <w:tc>
          <w:tcPr>
            <w:tcW w:type="dxa" w:w="8323"/>
            <w:tcMar>
              <w:top w:w="90" w:type="dxa"/>
              <w:start w:w="110" w:type="dxa"/>
              <w:bottom w:w="90" w:type="dxa"/>
              <w:end w:w="110" w:type="dxa"/>
            </w:tcMar>
            <w:vAlign w:val="top"/>
          </w:tcPr>
          <w:p>
            <w:pPr>
              <w:spacing w:after="40" w:line="240" w:lineRule="auto"/>
            </w:pPr>
            <w:r>
              <w:rPr>
                <w:rFonts w:ascii="Aptos" w:hAnsi="Aptos"/>
                <w:sz w:val="16"/>
              </w:rPr>
              <w:t>Use approved rules for material expiry, performance, capacity, claims, rate or compliance exceptions. Insufficient/stale/conflicting evidence creates review, not a fabricated conclusion.</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Action</w:t>
            </w:r>
          </w:p>
        </w:tc>
        <w:tc>
          <w:tcPr>
            <w:tcW w:type="dxa" w:w="8323"/>
            <w:tcMar>
              <w:top w:w="90" w:type="dxa"/>
              <w:start w:w="110" w:type="dxa"/>
              <w:bottom w:w="90" w:type="dxa"/>
              <w:end w:w="110" w:type="dxa"/>
            </w:tcMar>
            <w:vAlign w:val="top"/>
          </w:tcPr>
          <w:p>
            <w:pPr>
              <w:pStyle w:val="ListBullet"/>
              <w:spacing w:after="40" w:line="240" w:lineRule="auto"/>
            </w:pPr>
            <w:r>
              <w:rPr>
                <w:rFonts w:ascii="Aptos" w:hAnsi="Aptos"/>
                <w:sz w:val="16"/>
              </w:rPr>
              <w:t>Recommend performance review, corrective-action request, commercial recovery/validation or data review.</w:t>
            </w:r>
          </w:p>
          <w:p>
            <w:pPr>
              <w:pStyle w:val="ListBullet"/>
              <w:spacing w:after="40" w:line="240" w:lineRule="auto"/>
            </w:pPr>
            <w:r>
              <w:rPr>
                <w:rFonts w:ascii="Aptos" w:hAnsi="Aptos"/>
                <w:sz w:val="16"/>
              </w:rPr>
              <w:t>Allow assignment, due date, status, notes and closure evidence.</w:t>
            </w:r>
          </w:p>
          <w:p>
            <w:pPr>
              <w:pStyle w:val="ListBullet"/>
              <w:spacing w:after="40" w:line="240" w:lineRule="auto"/>
            </w:pPr>
            <w:r>
              <w:rPr>
                <w:rFonts w:ascii="Aptos" w:hAnsi="Aptos"/>
                <w:sz w:val="16"/>
              </w:rPr>
              <w:t>Where verified high performance or cost/service advantage is sustained, suggest future allocation or sourcing consideration.</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Expected Impact / Exposure</w:t>
            </w:r>
          </w:p>
        </w:tc>
        <w:tc>
          <w:tcPr>
            <w:tcW w:type="dxa" w:w="8323"/>
            <w:tcMar>
              <w:top w:w="90" w:type="dxa"/>
              <w:start w:w="110" w:type="dxa"/>
              <w:bottom w:w="90" w:type="dxa"/>
              <w:end w:w="110" w:type="dxa"/>
            </w:tcMar>
            <w:vAlign w:val="top"/>
          </w:tcPr>
          <w:p>
            <w:pPr>
              <w:spacing w:after="40" w:line="240" w:lineRule="auto"/>
            </w:pPr>
            <w:r>
              <w:rPr>
                <w:rFonts w:ascii="Aptos" w:hAnsi="Aptos"/>
                <w:sz w:val="16"/>
              </w:rPr>
              <w:t>Show supported late deliveries, rate variance, claims/service or contract exposure. Recommended outcomes remain estimates, not observed facts.</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Confidence &amp; Gaps</w:t>
            </w:r>
          </w:p>
        </w:tc>
        <w:tc>
          <w:tcPr>
            <w:tcW w:type="dxa" w:w="8323"/>
            <w:tcMar>
              <w:top w:w="90" w:type="dxa"/>
              <w:start w:w="110" w:type="dxa"/>
              <w:bottom w:w="90" w:type="dxa"/>
              <w:end w:w="110" w:type="dxa"/>
            </w:tcMar>
            <w:vAlign w:val="top"/>
          </w:tcPr>
          <w:p>
            <w:pPr>
              <w:spacing w:after="40" w:line="240" w:lineRule="auto"/>
            </w:pPr>
            <w:r>
              <w:rPr>
                <w:rFonts w:ascii="Aptos" w:hAnsi="Aptos"/>
                <w:sz w:val="16"/>
              </w:rPr>
              <w:t>Confidence reflects record coverage and reliability. Partial results and unavailable sources are visible.</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User Control</w:t>
            </w:r>
          </w:p>
        </w:tc>
        <w:tc>
          <w:tcPr>
            <w:tcW w:type="dxa" w:w="8323"/>
            <w:tcMar>
              <w:top w:w="90" w:type="dxa"/>
              <w:start w:w="110" w:type="dxa"/>
              <w:bottom w:w="90" w:type="dxa"/>
              <w:end w:w="110" w:type="dxa"/>
            </w:tcMar>
            <w:vAlign w:val="top"/>
          </w:tcPr>
          <w:p>
            <w:pPr>
              <w:spacing w:after="40" w:line="240" w:lineRule="auto"/>
            </w:pPr>
            <w:r>
              <w:rPr>
                <w:rFonts w:ascii="Aptos" w:hAnsi="Aptos"/>
                <w:sz w:val="16"/>
              </w:rPr>
              <w:t>A user accepts, edits, dismisses, assigns and closes an action. External performance communications require governed draft validation and human send approval.</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Lifecycle Effect</w:t>
            </w:r>
          </w:p>
        </w:tc>
        <w:tc>
          <w:tcPr>
            <w:tcW w:type="dxa" w:w="8323"/>
            <w:tcMar>
              <w:top w:w="90" w:type="dxa"/>
              <w:start w:w="110" w:type="dxa"/>
              <w:bottom w:w="90" w:type="dxa"/>
              <w:end w:w="110" w:type="dxa"/>
            </w:tcMar>
            <w:vAlign w:val="top"/>
          </w:tcPr>
          <w:p>
            <w:pPr>
              <w:spacing w:after="40" w:line="240" w:lineRule="auto"/>
            </w:pPr>
            <w:r>
              <w:rPr>
                <w:rFonts w:ascii="Aptos" w:hAnsi="Aptos"/>
                <w:sz w:val="16"/>
              </w:rPr>
              <w:t>Verified outcomes and closure evidence update Vendor 360; action history remains available to evaluation and renewal.</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Evidence &amp; Traceability</w:t>
            </w:r>
          </w:p>
        </w:tc>
        <w:tc>
          <w:tcPr>
            <w:tcW w:type="dxa" w:w="8323"/>
            <w:tcMar>
              <w:top w:w="90" w:type="dxa"/>
              <w:start w:w="110" w:type="dxa"/>
              <w:bottom w:w="90" w:type="dxa"/>
              <w:end w:w="110" w:type="dxa"/>
            </w:tcMar>
            <w:vAlign w:val="top"/>
          </w:tcPr>
          <w:p>
            <w:pPr>
              <w:spacing w:after="40" w:line="240" w:lineRule="auto"/>
            </w:pPr>
            <w:r>
              <w:rPr>
                <w:rFonts w:ascii="Aptos" w:hAnsi="Aptos"/>
                <w:sz w:val="16"/>
              </w:rPr>
              <w:t>Retain rule, baseline, actual records, score calculation, recommendation, user decisions, owner, dates, notes and closure evidence.</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Acceptance Criteria</w:t>
            </w:r>
          </w:p>
        </w:tc>
        <w:tc>
          <w:tcPr>
            <w:tcW w:type="dxa" w:w="8323"/>
            <w:tcMar>
              <w:top w:w="90" w:type="dxa"/>
              <w:start w:w="110" w:type="dxa"/>
              <w:bottom w:w="90" w:type="dxa"/>
              <w:end w:w="110" w:type="dxa"/>
            </w:tcMar>
            <w:vAlign w:val="top"/>
          </w:tcPr>
          <w:p>
            <w:pPr>
              <w:pStyle w:val="ListBullet"/>
              <w:spacing w:after="40" w:line="240" w:lineRule="auto"/>
            </w:pPr>
            <w:r>
              <w:rPr>
                <w:rFonts w:ascii="Aptos" w:hAnsi="Aptos"/>
                <w:sz w:val="16"/>
              </w:rPr>
              <w:t>Historical replay or synthetic execution creates a reproducible variance, score movement and explainable action.</w:t>
            </w:r>
          </w:p>
          <w:p>
            <w:pPr>
              <w:pStyle w:val="ListBullet"/>
              <w:spacing w:after="40" w:line="240" w:lineRule="auto"/>
            </w:pPr>
            <w:r>
              <w:rPr>
                <w:rFonts w:ascii="Aptos" w:hAnsi="Aptos"/>
                <w:sz w:val="16"/>
              </w:rPr>
              <w:t>Action has owner, due date, status, rationale and evidence.</w:t>
            </w:r>
          </w:p>
          <w:p>
            <w:pPr>
              <w:pStyle w:val="ListBullet"/>
              <w:spacing w:after="40" w:line="240" w:lineRule="auto"/>
            </w:pPr>
            <w:r>
              <w:rPr>
                <w:rFonts w:ascii="Aptos" w:hAnsi="Aptos"/>
                <w:sz w:val="16"/>
              </w:rPr>
              <w:t>A relevant performance email may be linked, but outgoing corrective-action request cannot send without approval.</w:t>
            </w:r>
          </w:p>
        </w:tc>
      </w:tr>
    </w:tbl>
    <w:p>
      <w:pPr>
        <w:spacing w:after="20"/>
      </w:pPr>
    </w:p>
    <w:p>
      <w:pPr>
        <w:pStyle w:val="Heading1"/>
      </w:pPr>
      <w:r>
        <w:t>8. Act on Renewal or Re-tendering</w:t>
      </w:r>
    </w:p>
    <w:p>
      <w:pPr>
        <w:keepNext/>
        <w:spacing w:after="80"/>
      </w:pPr>
      <w:r>
        <w:rPr>
          <w:i/>
          <w:color w:val="1F2933"/>
        </w:rPr>
        <w:t>As a Procurement / Category Manager, I want Compass to bring verified vendor and contract experience into the renewal decision so the next sourcing event starts with evidence rather than memory.</w:t>
      </w:r>
    </w:p>
    <w:p>
      <w:pPr>
        <w:keepNext/>
        <w:spacing w:after="140"/>
      </w:pPr>
      <w:r>
        <w:rPr>
          <w:b/>
        </w:rPr>
        <w:t xml:space="preserve">BRD basis: </w:t>
      </w:r>
      <w:r>
        <w:t>Sections 3, 6, 7 (FR-02, FR-14, FR-17 to FR-23), 10, 12, 13 and 15; AC-01, AC-10 and AC-11.</w:t>
      </w:r>
    </w:p>
    <w:tbl>
      <w:tblPr>
        <w:tblW w:type="auto" w:w="0"/>
        <w:jc w:val="center"/>
        <w:tblLayout w:type="fixed"/>
        <w:tblLook w:firstColumn="1" w:firstRow="1" w:lastColumn="0" w:lastRow="0" w:noHBand="0" w:noVBand="1" w:val="04A0"/>
        <w:tblBorders>
          <w:top w:val="single" w:sz="4" w:color="B8C7D9"/>
          <w:left w:val="single" w:sz="4" w:color="B8C7D9"/>
          <w:bottom w:val="single" w:sz="4" w:color="B8C7D9"/>
          <w:right w:val="single" w:sz="4" w:color="B8C7D9"/>
          <w:insideH w:val="single" w:sz="4" w:color="B8C7D9"/>
          <w:insideV w:val="single" w:sz="4" w:color="B8C7D9"/>
        </w:tblBorders>
      </w:tblPr>
      <w:tblGrid>
        <w:gridCol w:w="2477"/>
        <w:gridCol w:w="8323"/>
      </w:tblGrid>
      <w:tr>
        <w:trPr>
          <w:cantSplit/>
        </w:trPr>
        <w:tc>
          <w:tcPr>
            <w:tcW w:type="dxa" w:w="2477"/>
            <w:tcMar>
              <w:top w:w="90" w:type="dxa"/>
              <w:start w:w="110" w:type="dxa"/>
              <w:bottom w:w="90" w:type="dxa"/>
              <w:end w:w="110" w:type="dxa"/>
            </w:tcMar>
            <w:vAlign w:val="top"/>
            <w:shd w:fill="17365D"/>
          </w:tcPr>
          <w:p>
            <w:pPr>
              <w:spacing w:after="40" w:line="240" w:lineRule="auto"/>
            </w:pPr>
            <w:r>
              <w:rPr>
                <w:rFonts w:ascii="Aptos" w:hAnsi="Aptos"/>
                <w:b/>
                <w:color w:val="FFFFFF"/>
                <w:sz w:val="16"/>
              </w:rPr>
              <w:t>Persona &amp; Decision</w:t>
            </w:r>
          </w:p>
        </w:tc>
        <w:tc>
          <w:tcPr>
            <w:tcW w:type="dxa" w:w="8323"/>
            <w:tcMar>
              <w:top w:w="90" w:type="dxa"/>
              <w:start w:w="110" w:type="dxa"/>
              <w:bottom w:w="90" w:type="dxa"/>
              <w:end w:w="110" w:type="dxa"/>
            </w:tcMar>
            <w:vAlign w:val="top"/>
          </w:tcPr>
          <w:p>
            <w:pPr>
              <w:spacing w:after="40" w:line="240" w:lineRule="auto"/>
            </w:pPr>
            <w:r>
              <w:rPr>
                <w:rFonts w:ascii="Aptos" w:hAnsi="Aptos"/>
                <w:sz w:val="16"/>
              </w:rPr>
              <w:t>Procurement / Category Manager with Supplier Management, Logistics, Finance and approver input. Decide whether to renew, re-tender, validate further or change future requirements.</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Metrics &amp; Data</w:t>
            </w:r>
          </w:p>
        </w:tc>
        <w:tc>
          <w:tcPr>
            <w:tcW w:type="dxa" w:w="8323"/>
            <w:tcMar>
              <w:top w:w="90" w:type="dxa"/>
              <w:start w:w="110" w:type="dxa"/>
              <w:bottom w:w="90" w:type="dxa"/>
              <w:end w:w="110" w:type="dxa"/>
            </w:tcMar>
            <w:vAlign w:val="top"/>
          </w:tcPr>
          <w:p>
            <w:pPr>
              <w:pStyle w:val="ListBullet"/>
              <w:spacing w:after="40" w:line="240" w:lineRule="auto"/>
            </w:pPr>
            <w:r>
              <w:rPr>
                <w:rFonts w:ascii="Aptos" w:hAnsi="Aptos"/>
                <w:sz w:val="16"/>
              </w:rPr>
              <w:t>Expiry horizon, actual versus awarded spend/volume, rates and service commitments.</w:t>
            </w:r>
          </w:p>
          <w:p>
            <w:pPr>
              <w:pStyle w:val="ListBullet"/>
              <w:spacing w:after="40" w:line="240" w:lineRule="auto"/>
            </w:pPr>
            <w:r>
              <w:rPr>
                <w:rFonts w:ascii="Aptos" w:hAnsi="Aptos"/>
                <w:sz w:val="16"/>
              </w:rPr>
              <w:t>Performance score/components, trends, incidents, claims, corrective actions, prior tender/bid history and award rationale.</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Trend / Change</w:t>
            </w:r>
          </w:p>
        </w:tc>
        <w:tc>
          <w:tcPr>
            <w:tcW w:type="dxa" w:w="8323"/>
            <w:tcMar>
              <w:top w:w="90" w:type="dxa"/>
              <w:start w:w="110" w:type="dxa"/>
              <w:bottom w:w="90" w:type="dxa"/>
              <w:end w:w="110" w:type="dxa"/>
            </w:tcMar>
            <w:vAlign w:val="top"/>
          </w:tcPr>
          <w:p>
            <w:pPr>
              <w:spacing w:after="40" w:line="240" w:lineRule="auto"/>
            </w:pPr>
            <w:r>
              <w:rPr>
                <w:rFonts w:ascii="Aptos" w:hAnsi="Aptos"/>
                <w:sz w:val="16"/>
              </w:rPr>
              <w:t>Show performance and commercial direction across the contract term and identify operational drivers relevant to the next event.</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Drivers &amp; Evidence</w:t>
            </w:r>
          </w:p>
        </w:tc>
        <w:tc>
          <w:tcPr>
            <w:tcW w:type="dxa" w:w="8323"/>
            <w:tcMar>
              <w:top w:w="90" w:type="dxa"/>
              <w:start w:w="110" w:type="dxa"/>
              <w:bottom w:w="90" w:type="dxa"/>
              <w:end w:w="110" w:type="dxa"/>
            </w:tcMar>
            <w:vAlign w:val="top"/>
          </w:tcPr>
          <w:p>
            <w:pPr>
              <w:spacing w:after="40" w:line="240" w:lineRule="auto"/>
            </w:pPr>
            <w:r>
              <w:rPr>
                <w:rFonts w:ascii="Aptos" w:hAnsi="Aptos"/>
                <w:sz w:val="16"/>
              </w:rPr>
              <w:t>Explain the trigger and link verified history to affected lanes, services, obligations and prior decisions.</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Qualification</w:t>
            </w:r>
          </w:p>
        </w:tc>
        <w:tc>
          <w:tcPr>
            <w:tcW w:type="dxa" w:w="8323"/>
            <w:tcMar>
              <w:top w:w="90" w:type="dxa"/>
              <w:start w:w="110" w:type="dxa"/>
              <w:bottom w:w="90" w:type="dxa"/>
              <w:end w:w="110" w:type="dxa"/>
            </w:tcMar>
            <w:vAlign w:val="top"/>
          </w:tcPr>
          <w:p>
            <w:pPr>
              <w:spacing w:after="40" w:line="240" w:lineRule="auto"/>
            </w:pPr>
            <w:r>
              <w:rPr>
                <w:rFonts w:ascii="Aptos" w:hAnsi="Aptos"/>
                <w:sz w:val="16"/>
              </w:rPr>
              <w:t>Only verified outcomes enter the renewal evidence set. Open or disputed evidence remains clearly labelled; No History rules continue to apply.</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Action</w:t>
            </w:r>
          </w:p>
        </w:tc>
        <w:tc>
          <w:tcPr>
            <w:tcW w:type="dxa" w:w="8323"/>
            <w:tcMar>
              <w:top w:w="90" w:type="dxa"/>
              <w:start w:w="110" w:type="dxa"/>
              <w:bottom w:w="90" w:type="dxa"/>
              <w:end w:w="110" w:type="dxa"/>
            </w:tcMar>
            <w:vAlign w:val="top"/>
          </w:tcPr>
          <w:p>
            <w:pPr>
              <w:spacing w:after="40" w:line="240" w:lineRule="auto"/>
            </w:pPr>
            <w:r>
              <w:rPr>
                <w:rFonts w:ascii="Aptos" w:hAnsi="Aptos"/>
                <w:sz w:val="16"/>
              </w:rPr>
              <w:t>Create an expiry/renewal Action Centre item; recommend renewal review, competitive sourcing, requirement change or evidence validation without autonomously choosing the commercial outcome.</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Expected Impact / Exposure</w:t>
            </w:r>
          </w:p>
        </w:tc>
        <w:tc>
          <w:tcPr>
            <w:tcW w:type="dxa" w:w="8323"/>
            <w:tcMar>
              <w:top w:w="90" w:type="dxa"/>
              <w:start w:w="110" w:type="dxa"/>
              <w:bottom w:w="90" w:type="dxa"/>
              <w:end w:w="110" w:type="dxa"/>
            </w:tcMar>
            <w:vAlign w:val="top"/>
          </w:tcPr>
          <w:p>
            <w:pPr>
              <w:spacing w:after="40" w:line="240" w:lineRule="auto"/>
            </w:pPr>
            <w:r>
              <w:rPr>
                <w:rFonts w:ascii="Aptos" w:hAnsi="Aptos"/>
                <w:sz w:val="16"/>
              </w:rPr>
              <w:t>Show actual supported spend, service and contract exposure; future savings or performance improvement remain estimates with assumptions.</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Confidence &amp; Gaps</w:t>
            </w:r>
          </w:p>
        </w:tc>
        <w:tc>
          <w:tcPr>
            <w:tcW w:type="dxa" w:w="8323"/>
            <w:tcMar>
              <w:top w:w="90" w:type="dxa"/>
              <w:start w:w="110" w:type="dxa"/>
              <w:bottom w:w="90" w:type="dxa"/>
              <w:end w:w="110" w:type="dxa"/>
            </w:tcMar>
            <w:vAlign w:val="top"/>
          </w:tcPr>
          <w:p>
            <w:pPr>
              <w:spacing w:after="40" w:line="240" w:lineRule="auto"/>
            </w:pPr>
            <w:r>
              <w:rPr>
                <w:rFonts w:ascii="Aptos" w:hAnsi="Aptos"/>
                <w:sz w:val="16"/>
              </w:rPr>
              <w:t>Expose incomplete performance periods, disputed incidents, missing invoices/shipments and unresolved corrective actions.</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User Control</w:t>
            </w:r>
          </w:p>
        </w:tc>
        <w:tc>
          <w:tcPr>
            <w:tcW w:type="dxa" w:w="8323"/>
            <w:tcMar>
              <w:top w:w="90" w:type="dxa"/>
              <w:start w:w="110" w:type="dxa"/>
              <w:bottom w:w="90" w:type="dxa"/>
              <w:end w:w="110" w:type="dxa"/>
            </w:tcMar>
            <w:vAlign w:val="top"/>
          </w:tcPr>
          <w:p>
            <w:pPr>
              <w:spacing w:after="40" w:line="240" w:lineRule="auto"/>
            </w:pPr>
            <w:r>
              <w:rPr>
                <w:rFonts w:ascii="Aptos" w:hAnsi="Aptos"/>
                <w:sz w:val="16"/>
              </w:rPr>
              <w:t>User accepts, edits, dismisses or assigns the renewal action and approves any new event. Compass does not renew or terminate a contract.</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Lifecycle Effect</w:t>
            </w:r>
          </w:p>
        </w:tc>
        <w:tc>
          <w:tcPr>
            <w:tcW w:type="dxa" w:w="8323"/>
            <w:tcMar>
              <w:top w:w="90" w:type="dxa"/>
              <w:start w:w="110" w:type="dxa"/>
              <w:bottom w:w="90" w:type="dxa"/>
              <w:end w:w="110" w:type="dxa"/>
            </w:tcMar>
            <w:vAlign w:val="top"/>
          </w:tcPr>
          <w:p>
            <w:pPr>
              <w:spacing w:after="40" w:line="240" w:lineRule="auto"/>
            </w:pPr>
            <w:r>
              <w:rPr>
                <w:rFonts w:ascii="Aptos" w:hAnsi="Aptos"/>
                <w:sz w:val="16"/>
              </w:rPr>
              <w:t>Accepted re-tender action pre-populates a new event with relevant prior requirements, verified performance history, lessons and evidence links.</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Evidence &amp; Traceability</w:t>
            </w:r>
          </w:p>
        </w:tc>
        <w:tc>
          <w:tcPr>
            <w:tcW w:type="dxa" w:w="8323"/>
            <w:tcMar>
              <w:top w:w="90" w:type="dxa"/>
              <w:start w:w="110" w:type="dxa"/>
              <w:bottom w:w="90" w:type="dxa"/>
              <w:end w:w="110" w:type="dxa"/>
            </w:tcMar>
            <w:vAlign w:val="top"/>
          </w:tcPr>
          <w:p>
            <w:pPr>
              <w:spacing w:after="40" w:line="240" w:lineRule="auto"/>
            </w:pPr>
            <w:r>
              <w:rPr>
                <w:rFonts w:ascii="Aptos" w:hAnsi="Aptos"/>
                <w:sz w:val="16"/>
              </w:rPr>
              <w:t>Link the new decision to prior award rationale, contract baseline, actual records, score versions, incidents, actions and reviewer decisions.</w:t>
            </w:r>
          </w:p>
        </w:tc>
      </w:tr>
      <w:tr>
        <w:trPr>
          <w:cantSplit/>
        </w:trPr>
        <w:tc>
          <w:tcPr>
            <w:tcW w:type="dxa" w:w="2477"/>
            <w:tcMar>
              <w:top w:w="90" w:type="dxa"/>
              <w:start w:w="110" w:type="dxa"/>
              <w:bottom w:w="90" w:type="dxa"/>
              <w:end w:w="110" w:type="dxa"/>
            </w:tcMar>
            <w:vAlign w:val="top"/>
            <w:shd w:fill="EAF2F8"/>
          </w:tcPr>
          <w:p>
            <w:pPr>
              <w:spacing w:after="40" w:line="240" w:lineRule="auto"/>
            </w:pPr>
            <w:r>
              <w:rPr>
                <w:rFonts w:ascii="Aptos" w:hAnsi="Aptos"/>
                <w:b/>
                <w:color w:val="17365D"/>
                <w:sz w:val="16"/>
              </w:rPr>
              <w:t>Acceptance Criteria</w:t>
            </w:r>
          </w:p>
        </w:tc>
        <w:tc>
          <w:tcPr>
            <w:tcW w:type="dxa" w:w="8323"/>
            <w:tcMar>
              <w:top w:w="90" w:type="dxa"/>
              <w:start w:w="110" w:type="dxa"/>
              <w:bottom w:w="90" w:type="dxa"/>
              <w:end w:w="110" w:type="dxa"/>
            </w:tcMar>
            <w:vAlign w:val="top"/>
          </w:tcPr>
          <w:p>
            <w:pPr>
              <w:pStyle w:val="ListBullet"/>
              <w:spacing w:after="40" w:line="240" w:lineRule="auto"/>
            </w:pPr>
            <w:r>
              <w:rPr>
                <w:rFonts w:ascii="Aptos" w:hAnsi="Aptos"/>
                <w:sz w:val="16"/>
              </w:rPr>
              <w:t>Renewal view reuses verified performance history and identifies drivers relevant to the next event.</w:t>
            </w:r>
          </w:p>
          <w:p>
            <w:pPr>
              <w:pStyle w:val="ListBullet"/>
              <w:spacing w:after="40" w:line="240" w:lineRule="auto"/>
            </w:pPr>
            <w:r>
              <w:rPr>
                <w:rFonts w:ascii="Aptos" w:hAnsi="Aptos"/>
                <w:sz w:val="16"/>
              </w:rPr>
              <w:t>The end-to-end decision history remains accessible.</w:t>
            </w:r>
          </w:p>
          <w:p>
            <w:pPr>
              <w:pStyle w:val="ListBullet"/>
              <w:spacing w:after="40" w:line="240" w:lineRule="auto"/>
            </w:pPr>
            <w:r>
              <w:rPr>
                <w:rFonts w:ascii="Aptos" w:hAnsi="Aptos"/>
                <w:sz w:val="16"/>
              </w:rPr>
              <w:t>Unsupported estimates and synthetic values are not presented as observed customer facts.</w:t>
            </w:r>
          </w:p>
        </w:tc>
      </w:tr>
    </w:tbl>
    <w:p>
      <w:pPr>
        <w:spacing w:after="20"/>
      </w:pPr>
    </w:p>
    <w:p>
      <w:pPr>
        <w:pStyle w:val="Heading1"/>
      </w:pPr>
      <w:r>
        <w:t>Cross-cutting product requirements</w:t>
      </w:r>
    </w:p>
    <w:tbl>
      <w:tblPr>
        <w:tblStyle w:val="TableGrid"/>
        <w:tblW w:type="auto" w:w="0"/>
        <w:jc w:val="center"/>
        <w:tblLayout w:type="fixed"/>
        <w:tblLook w:firstColumn="1" w:firstRow="1" w:lastColumn="0" w:lastRow="0" w:noHBand="0" w:noVBand="1" w:val="04A0"/>
        <w:tblBorders>
          <w:top w:val="single" w:sz="4" w:color="B8C7D9"/>
          <w:left w:val="single" w:sz="4" w:color="B8C7D9"/>
          <w:bottom w:val="single" w:sz="4" w:color="B8C7D9"/>
          <w:right w:val="single" w:sz="4" w:color="B8C7D9"/>
          <w:insideH w:val="single" w:sz="4" w:color="B8C7D9"/>
          <w:insideV w:val="single" w:sz="4" w:color="B8C7D9"/>
        </w:tblBorders>
      </w:tblPr>
      <w:tblGrid>
        <w:gridCol w:w="5141"/>
        <w:gridCol w:w="5141"/>
      </w:tblGrid>
      <w:tr>
        <w:trPr>
          <w:tblHeader w:val="true"/>
        </w:trPr>
        <w:tc>
          <w:tcPr>
            <w:tcW w:type="dxa" w:w="5141"/>
            <w:shd w:fill="17365D"/>
            <w:vAlign w:val="top"/>
          </w:tcPr>
          <w:p>
            <w:pPr>
              <w:spacing w:after="40" w:line="240" w:lineRule="auto"/>
            </w:pPr>
            <w:r>
              <w:rPr>
                <w:rFonts w:ascii="Aptos" w:hAnsi="Aptos"/>
                <w:b/>
                <w:color w:val="FFFFFF"/>
                <w:sz w:val="16"/>
              </w:rPr>
              <w:t>Requirement area</w:t>
            </w:r>
          </w:p>
        </w:tc>
        <w:tc>
          <w:tcPr>
            <w:tcW w:type="dxa" w:w="5141"/>
            <w:shd w:fill="17365D"/>
            <w:vAlign w:val="top"/>
          </w:tcPr>
          <w:p>
            <w:pPr>
              <w:spacing w:after="40" w:line="240" w:lineRule="auto"/>
            </w:pPr>
            <w:r>
              <w:rPr>
                <w:rFonts w:ascii="Aptos" w:hAnsi="Aptos"/>
                <w:b/>
                <w:color w:val="FFFFFF"/>
                <w:sz w:val="16"/>
              </w:rPr>
              <w:t>Required product behaviour</w:t>
            </w:r>
          </w:p>
        </w:tc>
      </w:tr>
      <w:tr>
        <w:trPr>
          <w:cantSplit/>
        </w:trPr>
        <w:tc>
          <w:tcPr>
            <w:tcW w:type="dxa" w:w="5141"/>
            <w:shd w:fill="EAF2F8"/>
            <w:tcMar>
              <w:top w:w="90" w:type="dxa"/>
              <w:start w:w="110" w:type="dxa"/>
              <w:bottom w:w="90" w:type="dxa"/>
              <w:end w:w="110" w:type="dxa"/>
            </w:tcMar>
            <w:vAlign w:val="top"/>
          </w:tcPr>
          <w:p>
            <w:pPr>
              <w:spacing w:after="40" w:line="240" w:lineRule="auto"/>
            </w:pPr>
            <w:r>
              <w:rPr>
                <w:rFonts w:ascii="Aptos" w:hAnsi="Aptos"/>
                <w:sz w:val="16"/>
              </w:rPr>
              <w:t>Action Centre</w:t>
            </w:r>
          </w:p>
        </w:tc>
        <w:tc>
          <w:tcPr>
            <w:tcW w:type="dxa" w:w="5141"/>
            <w:tcMar>
              <w:top w:w="90" w:type="dxa"/>
              <w:start w:w="110" w:type="dxa"/>
              <w:bottom w:w="90" w:type="dxa"/>
              <w:end w:w="110" w:type="dxa"/>
            </w:tcMar>
            <w:vAlign w:val="top"/>
          </w:tcPr>
          <w:p>
            <w:pPr>
              <w:spacing w:after="40" w:line="240" w:lineRule="auto"/>
            </w:pPr>
            <w:r>
              <w:rPr>
                <w:rFonts w:ascii="Aptos" w:hAnsi="Aptos"/>
                <w:sz w:val="16"/>
              </w:rPr>
              <w:t>Show prioritised pre- and post-award actions with owner, due date, status, rationale, evidence and potential impact.</w:t>
            </w:r>
          </w:p>
        </w:tc>
      </w:tr>
      <w:tr>
        <w:trPr>
          <w:cantSplit/>
        </w:trPr>
        <w:tc>
          <w:tcPr>
            <w:tcW w:type="dxa" w:w="5141"/>
            <w:shd w:fill="EAF2F8"/>
            <w:tcMar>
              <w:top w:w="90" w:type="dxa"/>
              <w:start w:w="110" w:type="dxa"/>
              <w:bottom w:w="90" w:type="dxa"/>
              <w:end w:w="110" w:type="dxa"/>
            </w:tcMar>
            <w:vAlign w:val="top"/>
          </w:tcPr>
          <w:p>
            <w:pPr>
              <w:spacing w:after="40" w:line="240" w:lineRule="auto"/>
            </w:pPr>
            <w:r>
              <w:rPr>
                <w:rFonts w:ascii="Aptos" w:hAnsi="Aptos"/>
                <w:sz w:val="16"/>
              </w:rPr>
              <w:t>Evidence and provenance</w:t>
            </w:r>
          </w:p>
        </w:tc>
        <w:tc>
          <w:tcPr>
            <w:tcW w:type="dxa" w:w="5141"/>
            <w:tcMar>
              <w:top w:w="90" w:type="dxa"/>
              <w:start w:w="110" w:type="dxa"/>
              <w:bottom w:w="90" w:type="dxa"/>
              <w:end w:w="110" w:type="dxa"/>
            </w:tcMar>
            <w:vAlign w:val="top"/>
          </w:tcPr>
          <w:p>
            <w:pPr>
              <w:spacing w:after="40" w:line="240" w:lineRule="auto"/>
            </w:pPr>
            <w:r>
              <w:rPr>
                <w:rFonts w:ascii="Aptos" w:hAnsi="Aptos"/>
                <w:sz w:val="16"/>
              </w:rPr>
              <w:t>Material outputs expose source evidence, calculation/transformation, assumptions, timestamp and uncertainty; user overrides and workflow state changes are auditable.</w:t>
            </w:r>
          </w:p>
        </w:tc>
      </w:tr>
      <w:tr>
        <w:trPr>
          <w:cantSplit/>
        </w:trPr>
        <w:tc>
          <w:tcPr>
            <w:tcW w:type="dxa" w:w="5141"/>
            <w:shd w:fill="EAF2F8"/>
            <w:tcMar>
              <w:top w:w="90" w:type="dxa"/>
              <w:start w:w="110" w:type="dxa"/>
              <w:bottom w:w="90" w:type="dxa"/>
              <w:end w:w="110" w:type="dxa"/>
            </w:tcMar>
            <w:vAlign w:val="top"/>
          </w:tcPr>
          <w:p>
            <w:pPr>
              <w:spacing w:after="40" w:line="240" w:lineRule="auto"/>
            </w:pPr>
            <w:r>
              <w:rPr>
                <w:rFonts w:ascii="Aptos" w:hAnsi="Aptos"/>
                <w:sz w:val="16"/>
              </w:rPr>
              <w:t>Reliability</w:t>
            </w:r>
          </w:p>
        </w:tc>
        <w:tc>
          <w:tcPr>
            <w:tcW w:type="dxa" w:w="5141"/>
            <w:tcMar>
              <w:top w:w="90" w:type="dxa"/>
              <w:start w:w="110" w:type="dxa"/>
              <w:bottom w:w="90" w:type="dxa"/>
              <w:end w:w="110" w:type="dxa"/>
            </w:tcMar>
            <w:vAlign w:val="top"/>
          </w:tcPr>
          <w:p>
            <w:pPr>
              <w:spacing w:after="40" w:line="240" w:lineRule="auto"/>
            </w:pPr>
            <w:r>
              <w:rPr>
                <w:rFonts w:ascii="Aptos" w:hAnsi="Aptos"/>
                <w:sz w:val="16"/>
              </w:rPr>
              <w:t>Show partial results and data-quality warnings. Do not silently fail, convert missing to zero, impute vendor history or fabricate completeness.</w:t>
            </w:r>
          </w:p>
        </w:tc>
      </w:tr>
      <w:tr>
        <w:trPr>
          <w:cantSplit/>
        </w:trPr>
        <w:tc>
          <w:tcPr>
            <w:tcW w:type="dxa" w:w="5141"/>
            <w:shd w:fill="EAF2F8"/>
            <w:tcMar>
              <w:top w:w="90" w:type="dxa"/>
              <w:start w:w="110" w:type="dxa"/>
              <w:bottom w:w="90" w:type="dxa"/>
              <w:end w:w="110" w:type="dxa"/>
            </w:tcMar>
            <w:vAlign w:val="top"/>
          </w:tcPr>
          <w:p>
            <w:pPr>
              <w:spacing w:after="40" w:line="240" w:lineRule="auto"/>
            </w:pPr>
            <w:r>
              <w:rPr>
                <w:rFonts w:ascii="Aptos" w:hAnsi="Aptos"/>
                <w:sz w:val="16"/>
              </w:rPr>
              <w:t>Configurability</w:t>
            </w:r>
          </w:p>
        </w:tc>
        <w:tc>
          <w:tcPr>
            <w:tcW w:type="dxa" w:w="5141"/>
            <w:tcMar>
              <w:top w:w="90" w:type="dxa"/>
              <w:start w:w="110" w:type="dxa"/>
              <w:bottom w:w="90" w:type="dxa"/>
              <w:end w:w="110" w:type="dxa"/>
            </w:tcMar>
            <w:vAlign w:val="top"/>
          </w:tcPr>
          <w:p>
            <w:pPr>
              <w:spacing w:after="40" w:line="240" w:lineRule="auto"/>
            </w:pPr>
            <w:r>
              <w:rPr>
                <w:rFonts w:ascii="Aptos" w:hAnsi="Aptos"/>
                <w:sz w:val="16"/>
              </w:rPr>
              <w:t>Logistics category, geography, lanes, currencies, criteria, weights, thresholds, periods, minimum evidence and approval rules are configuration, not fixed product policy.</w:t>
            </w:r>
          </w:p>
        </w:tc>
      </w:tr>
      <w:tr>
        <w:trPr>
          <w:cantSplit/>
        </w:trPr>
        <w:tc>
          <w:tcPr>
            <w:tcW w:type="dxa" w:w="5141"/>
            <w:shd w:fill="EAF2F8"/>
            <w:tcMar>
              <w:top w:w="90" w:type="dxa"/>
              <w:start w:w="110" w:type="dxa"/>
              <w:bottom w:w="90" w:type="dxa"/>
              <w:end w:w="110" w:type="dxa"/>
            </w:tcMar>
            <w:vAlign w:val="top"/>
          </w:tcPr>
          <w:p>
            <w:pPr>
              <w:spacing w:after="40" w:line="240" w:lineRule="auto"/>
            </w:pPr>
            <w:r>
              <w:rPr>
                <w:rFonts w:ascii="Aptos" w:hAnsi="Aptos"/>
                <w:sz w:val="16"/>
              </w:rPr>
              <w:t>Security and privacy</w:t>
            </w:r>
          </w:p>
        </w:tc>
        <w:tc>
          <w:tcPr>
            <w:tcW w:type="dxa" w:w="5141"/>
            <w:tcMar>
              <w:top w:w="90" w:type="dxa"/>
              <w:start w:w="110" w:type="dxa"/>
              <w:bottom w:w="90" w:type="dxa"/>
              <w:end w:w="110" w:type="dxa"/>
            </w:tcMar>
            <w:vAlign w:val="top"/>
          </w:tcPr>
          <w:p>
            <w:pPr>
              <w:spacing w:after="40" w:line="240" w:lineRule="auto"/>
            </w:pPr>
            <w:r>
              <w:rPr>
                <w:rFonts w:ascii="Aptos" w:hAnsi="Aptos"/>
                <w:sz w:val="16"/>
              </w:rPr>
              <w:t>Role-based access, least privilege, customer-data isolation, commercially sensitive bid protection, access logging and configurable retention.</w:t>
            </w:r>
          </w:p>
        </w:tc>
      </w:tr>
      <w:tr>
        <w:trPr>
          <w:cantSplit/>
        </w:trPr>
        <w:tc>
          <w:tcPr>
            <w:tcW w:type="dxa" w:w="5141"/>
            <w:shd w:fill="EAF2F8"/>
            <w:tcMar>
              <w:top w:w="90" w:type="dxa"/>
              <w:start w:w="110" w:type="dxa"/>
              <w:bottom w:w="90" w:type="dxa"/>
              <w:end w:w="110" w:type="dxa"/>
            </w:tcMar>
            <w:vAlign w:val="top"/>
          </w:tcPr>
          <w:p>
            <w:pPr>
              <w:spacing w:after="40" w:line="240" w:lineRule="auto"/>
            </w:pPr>
            <w:r>
              <w:rPr>
                <w:rFonts w:ascii="Aptos" w:hAnsi="Aptos"/>
                <w:sz w:val="16"/>
              </w:rPr>
              <w:t>Human control</w:t>
            </w:r>
          </w:p>
        </w:tc>
        <w:tc>
          <w:tcPr>
            <w:tcW w:type="dxa" w:w="5141"/>
            <w:tcMar>
              <w:top w:w="90" w:type="dxa"/>
              <w:start w:w="110" w:type="dxa"/>
              <w:bottom w:w="90" w:type="dxa"/>
              <w:end w:w="110" w:type="dxa"/>
            </w:tcMar>
            <w:vAlign w:val="top"/>
          </w:tcPr>
          <w:p>
            <w:pPr>
              <w:spacing w:after="40" w:line="240" w:lineRule="auto"/>
            </w:pPr>
            <w:r>
              <w:rPr>
                <w:rFonts w:ascii="Aptos" w:hAnsi="Aptos"/>
                <w:sz w:val="16"/>
              </w:rPr>
              <w:t>No autonomous external communication or transaction. Consequential approval, override and send actions are explicit and auditable.</w:t>
            </w:r>
          </w:p>
        </w:tc>
      </w:tr>
      <w:tr>
        <w:trPr>
          <w:cantSplit/>
        </w:trPr>
        <w:tc>
          <w:tcPr>
            <w:tcW w:type="dxa" w:w="5141"/>
            <w:shd w:fill="EAF2F8"/>
            <w:tcMar>
              <w:top w:w="90" w:type="dxa"/>
              <w:start w:w="110" w:type="dxa"/>
              <w:bottom w:w="90" w:type="dxa"/>
              <w:end w:w="110" w:type="dxa"/>
            </w:tcMar>
            <w:vAlign w:val="top"/>
          </w:tcPr>
          <w:p>
            <w:pPr>
              <w:spacing w:after="40" w:line="240" w:lineRule="auto"/>
            </w:pPr>
            <w:r>
              <w:rPr>
                <w:rFonts w:ascii="Aptos" w:hAnsi="Aptos"/>
                <w:sz w:val="16"/>
              </w:rPr>
              <w:t>Performance and status</w:t>
            </w:r>
          </w:p>
        </w:tc>
        <w:tc>
          <w:tcPr>
            <w:tcW w:type="dxa" w:w="5141"/>
            <w:tcMar>
              <w:top w:w="90" w:type="dxa"/>
              <w:start w:w="110" w:type="dxa"/>
              <w:bottom w:w="90" w:type="dxa"/>
              <w:end w:w="110" w:type="dxa"/>
            </w:tcMar>
            <w:vAlign w:val="top"/>
          </w:tcPr>
          <w:p>
            <w:pPr>
              <w:spacing w:after="40" w:line="240" w:lineRule="auto"/>
            </w:pPr>
            <w:r>
              <w:rPr>
                <w:rFonts w:ascii="Aptos" w:hAnsi="Aptos"/>
                <w:sz w:val="16"/>
              </w:rPr>
              <w:t>Views respond interactively for the agreed limited dataset; longer/batch processing visibly reports status.</w:t>
            </w:r>
          </w:p>
        </w:tc>
      </w:tr>
      <w:tr>
        <w:trPr>
          <w:cantSplit/>
        </w:trPr>
        <w:tc>
          <w:tcPr>
            <w:tcW w:type="dxa" w:w="5141"/>
            <w:shd w:fill="EAF2F8"/>
            <w:tcMar>
              <w:top w:w="90" w:type="dxa"/>
              <w:start w:w="110" w:type="dxa"/>
              <w:bottom w:w="90" w:type="dxa"/>
              <w:end w:w="110" w:type="dxa"/>
            </w:tcMar>
            <w:vAlign w:val="top"/>
          </w:tcPr>
          <w:p>
            <w:pPr>
              <w:spacing w:after="40" w:line="240" w:lineRule="auto"/>
            </w:pPr>
            <w:r>
              <w:rPr>
                <w:rFonts w:ascii="Aptos" w:hAnsi="Aptos"/>
                <w:sz w:val="16"/>
              </w:rPr>
              <w:t>Accessibility and usability</w:t>
            </w:r>
          </w:p>
        </w:tc>
        <w:tc>
          <w:tcPr>
            <w:tcW w:type="dxa" w:w="5141"/>
            <w:tcMar>
              <w:top w:w="90" w:type="dxa"/>
              <w:start w:w="110" w:type="dxa"/>
              <w:bottom w:w="90" w:type="dxa"/>
              <w:end w:w="110" w:type="dxa"/>
            </w:tcMar>
            <w:vAlign w:val="top"/>
          </w:tcPr>
          <w:p>
            <w:pPr>
              <w:spacing w:after="40" w:line="240" w:lineRule="auto"/>
            </w:pPr>
            <w:r>
              <w:rPr>
                <w:rFonts w:ascii="Aptos" w:hAnsi="Aptos"/>
                <w:sz w:val="16"/>
              </w:rPr>
              <w:t>Key workflows are keyboard-readable, clearly labelled and understandable without technical AI knowledge.</w:t>
            </w:r>
          </w:p>
        </w:tc>
      </w:tr>
      <w:tr>
        <w:trPr>
          <w:cantSplit/>
        </w:trPr>
        <w:tc>
          <w:tcPr>
            <w:tcW w:type="dxa" w:w="5141"/>
            <w:shd w:fill="EAF2F8"/>
            <w:tcMar>
              <w:top w:w="90" w:type="dxa"/>
              <w:start w:w="110" w:type="dxa"/>
              <w:bottom w:w="90" w:type="dxa"/>
              <w:end w:w="110" w:type="dxa"/>
            </w:tcMar>
            <w:vAlign w:val="top"/>
          </w:tcPr>
          <w:p>
            <w:pPr>
              <w:spacing w:after="40" w:line="240" w:lineRule="auto"/>
            </w:pPr>
            <w:r>
              <w:rPr>
                <w:rFonts w:ascii="Aptos" w:hAnsi="Aptos"/>
                <w:sz w:val="16"/>
              </w:rPr>
              <w:t>Interoperability</w:t>
            </w:r>
          </w:p>
        </w:tc>
        <w:tc>
          <w:tcPr>
            <w:tcW w:type="dxa" w:w="5141"/>
            <w:tcMar>
              <w:top w:w="90" w:type="dxa"/>
              <w:start w:w="110" w:type="dxa"/>
              <w:bottom w:w="90" w:type="dxa"/>
              <w:end w:w="110" w:type="dxa"/>
            </w:tcMar>
            <w:vAlign w:val="top"/>
          </w:tcPr>
          <w:p>
            <w:pPr>
              <w:spacing w:after="40" w:line="240" w:lineRule="auto"/>
            </w:pPr>
            <w:r>
              <w:rPr>
                <w:rFonts w:ascii="Aptos" w:hAnsi="Aptos"/>
                <w:sz w:val="16"/>
              </w:rPr>
              <w:t>Future design supports file/API ingestion from ERP, TMS, sourcing, contract, vendor, claims and authorised email systems.</w:t>
            </w:r>
          </w:p>
        </w:tc>
      </w:tr>
      <w:tr>
        <w:trPr>
          <w:cantSplit/>
        </w:trPr>
        <w:tc>
          <w:tcPr>
            <w:tcW w:type="dxa" w:w="5141"/>
            <w:shd w:fill="EAF2F8"/>
            <w:tcMar>
              <w:top w:w="90" w:type="dxa"/>
              <w:start w:w="110" w:type="dxa"/>
              <w:bottom w:w="90" w:type="dxa"/>
              <w:end w:w="110" w:type="dxa"/>
            </w:tcMar>
            <w:vAlign w:val="top"/>
          </w:tcPr>
          <w:p>
            <w:pPr>
              <w:spacing w:after="40" w:line="240" w:lineRule="auto"/>
            </w:pPr>
            <w:r>
              <w:rPr>
                <w:rFonts w:ascii="Aptos" w:hAnsi="Aptos"/>
                <w:sz w:val="16"/>
              </w:rPr>
              <w:t>Scope boundary</w:t>
            </w:r>
          </w:p>
        </w:tc>
        <w:tc>
          <w:tcPr>
            <w:tcW w:type="dxa" w:w="5141"/>
            <w:tcMar>
              <w:top w:w="90" w:type="dxa"/>
              <w:start w:w="110" w:type="dxa"/>
              <w:bottom w:w="90" w:type="dxa"/>
              <w:end w:w="110" w:type="dxa"/>
            </w:tcMar>
            <w:vAlign w:val="top"/>
          </w:tcPr>
          <w:p>
            <w:pPr>
              <w:spacing w:after="40" w:line="240" w:lineRule="auto"/>
            </w:pPr>
            <w:r>
              <w:rPr>
                <w:rFonts w:ascii="Aptos" w:hAnsi="Aptos"/>
                <w:sz w:val="16"/>
              </w:rPr>
              <w:t>No production integrations/write-back, enterprise system replacement, autonomous award/signature/payment/reallocation/corrective action, or statistically validated predictive model.</w:t>
            </w:r>
          </w:p>
        </w:tc>
      </w:tr>
      <w:tr>
        <w:trPr>
          <w:cantSplit/>
          <w:cantSplit/>
        </w:trPr>
        <w:tc>
          <w:tcPr>
            <w:tcW w:type="dxa" w:w="5141"/>
            <w:shd w:fill="EAF2F8"/>
            <w:tcMar>
              <w:top w:w="90" w:type="dxa"/>
              <w:start w:w="110" w:type="dxa"/>
              <w:bottom w:w="90" w:type="dxa"/>
              <w:end w:w="110" w:type="dxa"/>
            </w:tcMar>
            <w:vAlign w:val="top"/>
          </w:tcPr>
          <w:p>
            <w:pPr/>
            <w:r>
              <w:rPr>
                <w:rFonts w:ascii="Aptos" w:hAnsi="Aptos"/>
                <w:sz w:val="16"/>
              </w:rPr>
              <w:t>Stateful interaction</w:t>
            </w:r>
          </w:p>
        </w:tc>
        <w:tc>
          <w:tcPr>
            <w:tcW w:type="dxa" w:w="5141"/>
            <w:tcMar>
              <w:top w:w="90" w:type="dxa"/>
              <w:start w:w="110" w:type="dxa"/>
              <w:bottom w:w="90" w:type="dxa"/>
              <w:end w:w="110" w:type="dxa"/>
            </w:tcMar>
            <w:vAlign w:val="top"/>
          </w:tcPr>
          <w:p>
            <w:pPr/>
            <w:r>
              <w:rPr>
                <w:rFonts w:ascii="Aptos" w:hAnsi="Aptos"/>
                <w:sz w:val="16"/>
              </w:rPr>
              <w:t>Persist material user actions and reflect them in subsequent screens, eligible evidence, calculations, recommendations, action states and audit history.</w:t>
            </w:r>
          </w:p>
        </w:tc>
      </w:tr>
      <w:tr>
        <w:trPr>
          <w:cantSplit/>
          <w:cantSplit/>
          <w:cantSplit/>
        </w:trPr>
        <w:tc>
          <w:tcPr>
            <w:tcW w:type="dxa" w:w="5141"/>
            <w:shd w:fill="EAF2F8"/>
            <w:tcMar>
              <w:top w:w="90" w:type="dxa"/>
              <w:start w:w="110" w:type="dxa"/>
              <w:bottom w:w="90" w:type="dxa"/>
              <w:end w:w="110" w:type="dxa"/>
            </w:tcMar>
            <w:vAlign w:val="top"/>
          </w:tcPr>
          <w:p>
            <w:pPr/>
            <w:r>
              <w:rPr>
                <w:rFonts w:ascii="Aptos" w:hAnsi="Aptos"/>
                <w:sz w:val="16"/>
              </w:rPr>
              <w:t>Staged evidence</w:t>
            </w:r>
          </w:p>
        </w:tc>
        <w:tc>
          <w:tcPr>
            <w:tcW w:type="dxa" w:w="5141"/>
            <w:tcMar>
              <w:top w:w="90" w:type="dxa"/>
              <w:start w:w="110" w:type="dxa"/>
              <w:bottom w:w="90" w:type="dxa"/>
              <w:end w:w="110" w:type="dxa"/>
            </w:tcMar>
            <w:vAlign w:val="top"/>
          </w:tcPr>
          <w:p>
            <w:pPr/>
            <w:r>
              <w:rPr>
                <w:rFonts w:ascii="Aptos" w:hAnsi="Aptos"/>
                <w:sz w:val="16"/>
              </w:rPr>
              <w:t>Do not load the completed scenario at initialization. Release supplier responses, revisions and execution evidence only after the configured action or clearly labelled simulation control.</w:t>
            </w:r>
          </w:p>
        </w:tc>
      </w:tr>
      <w:tr>
        <w:trPr>
          <w:cantSplit/>
          <w:cantSplit/>
          <w:cantSplit/>
          <w:cantSplit/>
        </w:trPr>
        <w:tc>
          <w:tcPr>
            <w:tcW w:type="dxa" w:w="5141"/>
            <w:shd w:fill="EAF2F8"/>
            <w:tcMar>
              <w:top w:w="90" w:type="dxa"/>
              <w:start w:w="110" w:type="dxa"/>
              <w:bottom w:w="90" w:type="dxa"/>
              <w:end w:w="110" w:type="dxa"/>
            </w:tcMar>
            <w:vAlign w:val="top"/>
          </w:tcPr>
          <w:p>
            <w:pPr/>
            <w:r>
              <w:rPr>
                <w:rFonts w:ascii="Aptos" w:hAnsi="Aptos"/>
                <w:sz w:val="16"/>
              </w:rPr>
              <w:t>Replay</w:t>
            </w:r>
          </w:p>
        </w:tc>
        <w:tc>
          <w:tcPr>
            <w:tcW w:type="dxa" w:w="5141"/>
            <w:tcMar>
              <w:top w:w="90" w:type="dxa"/>
              <w:start w:w="110" w:type="dxa"/>
              <w:bottom w:w="90" w:type="dxa"/>
              <w:end w:w="110" w:type="dxa"/>
            </w:tcMar>
            <w:vAlign w:val="top"/>
          </w:tcPr>
          <w:p>
            <w:pPr/>
            <w:r>
              <w:rPr>
                <w:rFonts w:ascii="Aptos" w:hAnsi="Aptos"/>
                <w:sz w:val="16"/>
              </w:rPr>
              <w:t>Support reset to the defined start and, where configured, restoration of a saved checkpoint. The same source package and action sequence must reproduce the same state transitions.</w:t>
            </w:r>
          </w:p>
        </w:tc>
      </w:tr>
      <w:tr>
        <w:trPr>
          <w:cantSplit/>
          <w:cantSplit/>
          <w:cantSplit/>
          <w:cantSplit/>
        </w:trPr>
        <w:tc>
          <w:tcPr>
            <w:tcW w:type="dxa" w:w="5141"/>
            <w:shd w:fill="EAF2F8"/>
            <w:tcMar>
              <w:top w:w="90" w:type="dxa"/>
              <w:start w:w="110" w:type="dxa"/>
              <w:bottom w:w="90" w:type="dxa"/>
              <w:end w:w="110" w:type="dxa"/>
            </w:tcMar>
            <w:vAlign w:val="top"/>
          </w:tcPr>
          <w:p>
            <w:pPr/>
            <w:r>
              <w:rPr>
                <w:rFonts w:ascii="Aptos" w:hAnsi="Aptos"/>
                <w:sz w:val="16"/>
              </w:rPr>
              <w:t>Language and localisation</w:t>
            </w:r>
          </w:p>
        </w:tc>
        <w:tc>
          <w:tcPr>
            <w:tcW w:type="dxa" w:w="5141"/>
            <w:tcMar>
              <w:top w:w="90" w:type="dxa"/>
              <w:start w:w="110" w:type="dxa"/>
              <w:bottom w:w="90" w:type="dxa"/>
              <w:end w:w="110" w:type="dxa"/>
            </w:tcMar>
            <w:vAlign w:val="top"/>
          </w:tcPr>
          <w:p>
            <w:pPr/>
            <w:r>
              <w:rPr>
                <w:rFonts w:ascii="Aptos" w:hAnsi="Aptos"/>
                <w:sz w:val="16"/>
              </w:rPr>
              <w:t>Use British English by default and support German for the defined prototype journeys. Preserve original-language evidence, label translations, apply the approved bilingual glossary and format dates, numbers and currencies for the selected locale.</w:t>
            </w:r>
          </w:p>
        </w:tc>
      </w:tr>
    </w:tbl>
    <w:p>
      <w:pPr>
        <w:pStyle w:val="Heading1"/>
      </w:pPr>
      <w:r>
        <w:t>Core decision and semantic guardrails</w:t>
      </w:r>
    </w:p>
    <w:p>
      <w:pPr>
        <w:pStyle w:val="ListBullet"/>
      </w:pPr>
      <w:r>
        <w:t>Qualification gates are evaluated separately from weighted scoring; failed or evidence-missing bids are not silently treated as compliant.</w:t>
      </w:r>
    </w:p>
    <w:p>
      <w:pPr>
        <w:pStyle w:val="ListBullet"/>
      </w:pPr>
      <w:r>
        <w:t>The approved historical method determines whether incumbent performance is a weighted criterion, risk overlay or separate decision evidence.</w:t>
      </w:r>
    </w:p>
    <w:p>
      <w:pPr>
        <w:pStyle w:val="ListBullet"/>
      </w:pPr>
      <w:r>
        <w:t>No History is a state, not a low score. Missing, stale or conflicting evidence is not zero and is not silently imputed.</w:t>
      </w:r>
    </w:p>
    <w:p>
      <w:pPr>
        <w:pStyle w:val="ListBullet"/>
      </w:pPr>
      <w:r>
        <w:t>A total vendor score is shown only when minimum evidence is met; qualitative input alone does not determine it.</w:t>
      </w:r>
    </w:p>
    <w:p>
      <w:pPr>
        <w:pStyle w:val="ListBullet"/>
      </w:pPr>
      <w:r>
        <w:t>Confirmed Relevant email may contribute evidence; Potentially Relevant and Not Relevant email cannot influence decisions.</w:t>
      </w:r>
    </w:p>
    <w:p>
      <w:pPr>
        <w:pStyle w:val="ListBullet"/>
      </w:pPr>
      <w:r>
        <w:t>An email remains authoritative evidence; extracted facts are linked interpretations and do not replace the source.</w:t>
      </w:r>
    </w:p>
    <w:p>
      <w:pPr>
        <w:pStyle w:val="ListBullet"/>
      </w:pPr>
      <w:r>
        <w:t>A revised proposal or rate card is a new submission version; prior messages, attachments and versions remain accessible.</w:t>
      </w:r>
    </w:p>
    <w:p>
      <w:pPr>
        <w:pStyle w:val="ListBullet"/>
      </w:pPr>
      <w:r>
        <w:t>Supplier communications use governed workflow data, pass recipient/fact/attachment/confidentiality validation and require human send approval.</w:t>
      </w:r>
    </w:p>
    <w:p>
      <w:pPr>
        <w:pStyle w:val="ListBullet"/>
      </w:pPr>
      <w:r>
        <w:t>A recommendation is not an award, an approved draft is not a sent message, and a corrective-action suggestion is not an external commitment.</w:t>
      </w:r>
    </w:p>
    <w:p>
      <w:pPr>
        <w:pStyle w:val="ListBullet"/>
      </w:pPr>
      <w:r>
        <w:t>Only verified execution outcomes enrich vendor history and become eligible evidence in later sourcing decisions.</w:t>
      </w:r>
    </w:p>
    <w:p>
      <w:pPr>
        <w:pStyle w:val="ListBullet"/>
      </w:pPr>
      <w:r>
        <w:t>Synthetic and illustrative values are labelled; unsupported estimates are never presented as observed customer facts.</w:t>
      </w:r>
    </w:p>
    <w:p>
      <w:pPr>
        <w:pStyle w:val="ListBullet"/>
      </w:pPr>
      <w:r>
        <w:t>The original-language source is authoritative. Translation is a linked interpretation and must not replace or silently alter the source evidence.</w:t>
      </w:r>
    </w:p>
    <w:p>
      <w:pPr>
        <w:pStyle w:val="ListBullet"/>
      </w:pPr>
      <w:r>
        <w:t>Language conversion must preserve amounts, units, dates, lane identifiers, contractual thresholds and evidence references. Uncertain terminology is routed for review.</w:t>
      </w:r>
    </w:p>
    <w:p>
      <w:pPr>
        <w:pStyle w:val="Heading1"/>
      </w:pPr>
      <w:r>
        <w:t>Prototype data model</w:t>
      </w:r>
    </w:p>
    <w:tbl>
      <w:tblPr>
        <w:tblStyle w:val="TableGrid"/>
        <w:tblW w:type="auto" w:w="0"/>
        <w:jc w:val="center"/>
        <w:tblLook w:firstColumn="1" w:firstRow="1" w:lastColumn="0" w:lastRow="0" w:noHBand="0" w:noVBand="1" w:val="04A0"/>
        <w:tblBorders>
          <w:top w:val="single" w:sz="4" w:color="B8C7D9"/>
          <w:left w:val="single" w:sz="4" w:color="B8C7D9"/>
          <w:bottom w:val="single" w:sz="4" w:color="B8C7D9"/>
          <w:right w:val="single" w:sz="4" w:color="B8C7D9"/>
          <w:insideH w:val="single" w:sz="4" w:color="B8C7D9"/>
          <w:insideV w:val="single" w:sz="4" w:color="B8C7D9"/>
        </w:tblBorders>
      </w:tblPr>
      <w:tblGrid>
        <w:gridCol w:w="5141"/>
        <w:gridCol w:w="5141"/>
      </w:tblGrid>
      <w:tr>
        <w:trPr>
          <w:tblHeader w:val="true"/>
        </w:trPr>
        <w:tc>
          <w:tcPr>
            <w:tcW w:type="dxa" w:w="5141"/>
            <w:shd w:fill="17365D"/>
            <w:vAlign w:val="top"/>
          </w:tcPr>
          <w:p>
            <w:pPr>
              <w:spacing w:after="40" w:line="240" w:lineRule="auto"/>
            </w:pPr>
            <w:r>
              <w:rPr>
                <w:rFonts w:ascii="Aptos" w:hAnsi="Aptos"/>
                <w:b/>
                <w:color w:val="FFFFFF"/>
                <w:sz w:val="16"/>
              </w:rPr>
              <w:t>Entity / domain</w:t>
            </w:r>
          </w:p>
        </w:tc>
        <w:tc>
          <w:tcPr>
            <w:tcW w:type="dxa" w:w="5141"/>
            <w:shd w:fill="17365D"/>
            <w:vAlign w:val="top"/>
          </w:tcPr>
          <w:p>
            <w:pPr>
              <w:spacing w:after="40" w:line="240" w:lineRule="auto"/>
            </w:pPr>
            <w:r>
              <w:rPr>
                <w:rFonts w:ascii="Aptos" w:hAnsi="Aptos"/>
                <w:b/>
                <w:color w:val="FFFFFF"/>
                <w:sz w:val="16"/>
              </w:rPr>
              <w:t>Minimum fields and product treatment</w:t>
            </w:r>
          </w:p>
        </w:tc>
      </w:tr>
      <w:tr>
        <w:trPr>
          <w:cantSplit/>
        </w:trPr>
        <w:tc>
          <w:tcPr>
            <w:tcW w:type="dxa" w:w="5141"/>
            <w:shd w:fill="EAF2F8"/>
            <w:tcMar>
              <w:top w:w="90" w:type="dxa"/>
              <w:start w:w="110" w:type="dxa"/>
              <w:bottom w:w="90" w:type="dxa"/>
              <w:end w:w="110" w:type="dxa"/>
            </w:tcMar>
            <w:vAlign w:val="top"/>
          </w:tcPr>
          <w:p>
            <w:pPr>
              <w:spacing w:after="40" w:line="240" w:lineRule="auto"/>
            </w:pPr>
            <w:r>
              <w:rPr>
                <w:rFonts w:ascii="Aptos" w:hAnsi="Aptos"/>
                <w:sz w:val="16"/>
              </w:rPr>
              <w:t>Sourcing Event</w:t>
            </w:r>
          </w:p>
        </w:tc>
        <w:tc>
          <w:tcPr>
            <w:tcW w:type="dxa" w:w="5141"/>
            <w:tcMar>
              <w:top w:w="90" w:type="dxa"/>
              <w:start w:w="110" w:type="dxa"/>
              <w:bottom w:w="90" w:type="dxa"/>
              <w:end w:w="110" w:type="dxa"/>
            </w:tcMar>
            <w:vAlign w:val="top"/>
          </w:tcPr>
          <w:p>
            <w:pPr>
              <w:spacing w:after="40" w:line="240" w:lineRule="auto"/>
            </w:pPr>
            <w:r>
              <w:rPr>
                <w:rFonts w:ascii="Aptos" w:hAnsi="Aptos"/>
                <w:sz w:val="16"/>
              </w:rPr>
              <w:t>Event ID; need/trigger; owner; status; lanes; volumes; services; SLAs/KPIs; term; pricing structure; criteria version; vendors; deadlines; evidence links.</w:t>
            </w:r>
          </w:p>
        </w:tc>
      </w:tr>
      <w:tr>
        <w:trPr>
          <w:cantSplit/>
        </w:trPr>
        <w:tc>
          <w:tcPr>
            <w:tcW w:type="dxa" w:w="5141"/>
            <w:shd w:fill="EAF2F8"/>
            <w:tcMar>
              <w:top w:w="90" w:type="dxa"/>
              <w:start w:w="110" w:type="dxa"/>
              <w:bottom w:w="90" w:type="dxa"/>
              <w:end w:w="110" w:type="dxa"/>
            </w:tcMar>
            <w:vAlign w:val="top"/>
          </w:tcPr>
          <w:p>
            <w:pPr>
              <w:spacing w:after="40" w:line="240" w:lineRule="auto"/>
            </w:pPr>
            <w:r>
              <w:rPr>
                <w:rFonts w:ascii="Aptos" w:hAnsi="Aptos"/>
                <w:sz w:val="16"/>
              </w:rPr>
              <w:t>Vendor</w:t>
            </w:r>
          </w:p>
        </w:tc>
        <w:tc>
          <w:tcPr>
            <w:tcW w:type="dxa" w:w="5141"/>
            <w:tcMar>
              <w:top w:w="90" w:type="dxa"/>
              <w:start w:w="110" w:type="dxa"/>
              <w:bottom w:w="90" w:type="dxa"/>
              <w:end w:w="110" w:type="dxa"/>
            </w:tcMar>
            <w:vAlign w:val="top"/>
          </w:tcPr>
          <w:p>
            <w:pPr>
              <w:spacing w:after="40" w:line="240" w:lineRule="auto"/>
            </w:pPr>
            <w:r>
              <w:rPr>
                <w:rFonts w:ascii="Aptos" w:hAnsi="Aptos"/>
                <w:sz w:val="16"/>
              </w:rPr>
              <w:t>Vendor ID; identity; services/regions; relationship dates; status; contracts; spend; sourcing/award history; performance state, including No History.</w:t>
            </w:r>
          </w:p>
        </w:tc>
      </w:tr>
      <w:tr>
        <w:trPr>
          <w:cantSplit/>
        </w:trPr>
        <w:tc>
          <w:tcPr>
            <w:tcW w:type="dxa" w:w="5141"/>
            <w:shd w:fill="EAF2F8"/>
            <w:tcMar>
              <w:top w:w="90" w:type="dxa"/>
              <w:start w:w="110" w:type="dxa"/>
              <w:bottom w:w="90" w:type="dxa"/>
              <w:end w:w="110" w:type="dxa"/>
            </w:tcMar>
            <w:vAlign w:val="top"/>
          </w:tcPr>
          <w:p>
            <w:pPr>
              <w:spacing w:after="40" w:line="240" w:lineRule="auto"/>
            </w:pPr>
            <w:r>
              <w:rPr>
                <w:rFonts w:ascii="Aptos" w:hAnsi="Aptos"/>
                <w:sz w:val="16"/>
              </w:rPr>
              <w:t>Proposal / Bid</w:t>
            </w:r>
          </w:p>
        </w:tc>
        <w:tc>
          <w:tcPr>
            <w:tcW w:type="dxa" w:w="5141"/>
            <w:tcMar>
              <w:top w:w="90" w:type="dxa"/>
              <w:start w:w="110" w:type="dxa"/>
              <w:bottom w:w="90" w:type="dxa"/>
              <w:end w:w="110" w:type="dxa"/>
            </w:tcMar>
            <w:vAlign w:val="top"/>
          </w:tcPr>
          <w:p>
            <w:pPr>
              <w:spacing w:after="40" w:line="240" w:lineRule="auto"/>
            </w:pPr>
            <w:r>
              <w:rPr>
                <w:rFonts w:ascii="Aptos" w:hAnsi="Aptos"/>
                <w:sz w:val="16"/>
              </w:rPr>
              <w:t>Vendor; event; submission/version; original files; lane coverage; rates/units/currency; surcharges; assumptions; exceptions; service/capacity; normalised values; gates and scores.</w:t>
            </w:r>
          </w:p>
        </w:tc>
      </w:tr>
      <w:tr>
        <w:trPr>
          <w:cantSplit/>
        </w:trPr>
        <w:tc>
          <w:tcPr>
            <w:tcW w:type="dxa" w:w="5141"/>
            <w:shd w:fill="EAF2F8"/>
            <w:tcMar>
              <w:top w:w="90" w:type="dxa"/>
              <w:start w:w="110" w:type="dxa"/>
              <w:bottom w:w="90" w:type="dxa"/>
              <w:end w:w="110" w:type="dxa"/>
            </w:tcMar>
            <w:vAlign w:val="top"/>
          </w:tcPr>
          <w:p>
            <w:pPr>
              <w:spacing w:after="40" w:line="240" w:lineRule="auto"/>
            </w:pPr>
            <w:r>
              <w:rPr>
                <w:rFonts w:ascii="Aptos" w:hAnsi="Aptos"/>
                <w:sz w:val="16"/>
              </w:rPr>
              <w:t>Contract Baseline</w:t>
            </w:r>
          </w:p>
        </w:tc>
        <w:tc>
          <w:tcPr>
            <w:tcW w:type="dxa" w:w="5141"/>
            <w:tcMar>
              <w:top w:w="90" w:type="dxa"/>
              <w:start w:w="110" w:type="dxa"/>
              <w:bottom w:w="90" w:type="dxa"/>
              <w:end w:w="110" w:type="dxa"/>
            </w:tcMar>
            <w:vAlign w:val="top"/>
          </w:tcPr>
          <w:p>
            <w:pPr>
              <w:spacing w:after="40" w:line="240" w:lineRule="auto"/>
            </w:pPr>
            <w:r>
              <w:rPr>
                <w:rFonts w:ascii="Aptos" w:hAnsi="Aptos"/>
                <w:sz w:val="16"/>
              </w:rPr>
              <w:t>Contract ID; approved award; dates; lanes; rates; volumes/capacity; SLAs/KPIs; thresholds; governance and renewal terms.</w:t>
            </w:r>
          </w:p>
        </w:tc>
      </w:tr>
      <w:tr>
        <w:trPr>
          <w:cantSplit/>
        </w:trPr>
        <w:tc>
          <w:tcPr>
            <w:tcW w:type="dxa" w:w="5141"/>
            <w:shd w:fill="EAF2F8"/>
            <w:tcMar>
              <w:top w:w="90" w:type="dxa"/>
              <w:start w:w="110" w:type="dxa"/>
              <w:bottom w:w="90" w:type="dxa"/>
              <w:end w:w="110" w:type="dxa"/>
            </w:tcMar>
            <w:vAlign w:val="top"/>
          </w:tcPr>
          <w:p>
            <w:pPr>
              <w:spacing w:after="40" w:line="240" w:lineRule="auto"/>
            </w:pPr>
            <w:r>
              <w:rPr>
                <w:rFonts w:ascii="Aptos" w:hAnsi="Aptos"/>
                <w:sz w:val="16"/>
              </w:rPr>
              <w:t>Execution Evidence</w:t>
            </w:r>
          </w:p>
        </w:tc>
        <w:tc>
          <w:tcPr>
            <w:tcW w:type="dxa" w:w="5141"/>
            <w:tcMar>
              <w:top w:w="90" w:type="dxa"/>
              <w:start w:w="110" w:type="dxa"/>
              <w:bottom w:w="90" w:type="dxa"/>
              <w:end w:w="110" w:type="dxa"/>
            </w:tcMar>
            <w:vAlign w:val="top"/>
          </w:tcPr>
          <w:p>
            <w:pPr>
              <w:spacing w:after="40" w:line="240" w:lineRule="auto"/>
            </w:pPr>
            <w:r>
              <w:rPr>
                <w:rFonts w:ascii="Aptos" w:hAnsi="Aptos"/>
                <w:sz w:val="16"/>
              </w:rPr>
              <w:t>Shipment/lane dates; acceptance/cancellation; service exceptions; invoices; contracted and invoiced amounts; claims/incidents; source and recency.</w:t>
            </w:r>
          </w:p>
        </w:tc>
      </w:tr>
      <w:tr>
        <w:trPr>
          <w:cantSplit/>
        </w:trPr>
        <w:tc>
          <w:tcPr>
            <w:tcW w:type="dxa" w:w="5141"/>
            <w:shd w:fill="EAF2F8"/>
            <w:tcMar>
              <w:top w:w="90" w:type="dxa"/>
              <w:start w:w="110" w:type="dxa"/>
              <w:bottom w:w="90" w:type="dxa"/>
              <w:end w:w="110" w:type="dxa"/>
            </w:tcMar>
            <w:vAlign w:val="top"/>
          </w:tcPr>
          <w:p>
            <w:pPr>
              <w:spacing w:after="40" w:line="240" w:lineRule="auto"/>
            </w:pPr>
            <w:r>
              <w:rPr>
                <w:rFonts w:ascii="Aptos" w:hAnsi="Aptos"/>
                <w:sz w:val="16"/>
              </w:rPr>
              <w:t>Performance Score</w:t>
            </w:r>
          </w:p>
        </w:tc>
        <w:tc>
          <w:tcPr>
            <w:tcW w:type="dxa" w:w="5141"/>
            <w:tcMar>
              <w:top w:w="90" w:type="dxa"/>
              <w:start w:w="110" w:type="dxa"/>
              <w:bottom w:w="90" w:type="dxa"/>
              <w:end w:w="110" w:type="dxa"/>
            </w:tcMar>
            <w:vAlign w:val="top"/>
          </w:tcPr>
          <w:p>
            <w:pPr>
              <w:spacing w:after="40" w:line="240" w:lineRule="auto"/>
            </w:pPr>
            <w:r>
              <w:rPr>
                <w:rFonts w:ascii="Aptos" w:hAnsi="Aptos"/>
                <w:sz w:val="16"/>
              </w:rPr>
              <w:t>Vendor; period; component values; target; weight; formula/version; evidence sufficiency; total score or No History; drivers and processing time.</w:t>
            </w:r>
          </w:p>
        </w:tc>
      </w:tr>
      <w:tr>
        <w:trPr>
          <w:cantSplit/>
        </w:trPr>
        <w:tc>
          <w:tcPr>
            <w:tcW w:type="dxa" w:w="5141"/>
            <w:shd w:fill="EAF2F8"/>
            <w:tcMar>
              <w:top w:w="90" w:type="dxa"/>
              <w:start w:w="110" w:type="dxa"/>
              <w:bottom w:w="90" w:type="dxa"/>
              <w:end w:w="110" w:type="dxa"/>
            </w:tcMar>
            <w:vAlign w:val="top"/>
          </w:tcPr>
          <w:p>
            <w:pPr>
              <w:spacing w:after="40" w:line="240" w:lineRule="auto"/>
            </w:pPr>
            <w:r>
              <w:rPr>
                <w:rFonts w:ascii="Aptos" w:hAnsi="Aptos"/>
                <w:sz w:val="16"/>
              </w:rPr>
              <w:t>Action / Approval</w:t>
            </w:r>
          </w:p>
        </w:tc>
        <w:tc>
          <w:tcPr>
            <w:tcW w:type="dxa" w:w="5141"/>
            <w:tcMar>
              <w:top w:w="90" w:type="dxa"/>
              <w:start w:w="110" w:type="dxa"/>
              <w:bottom w:w="90" w:type="dxa"/>
              <w:end w:w="110" w:type="dxa"/>
            </w:tcMar>
            <w:vAlign w:val="top"/>
          </w:tcPr>
          <w:p>
            <w:pPr>
              <w:spacing w:after="40" w:line="240" w:lineRule="auto"/>
            </w:pPr>
            <w:r>
              <w:rPr>
                <w:rFonts w:ascii="Aptos" w:hAnsi="Aptos"/>
                <w:sz w:val="16"/>
              </w:rPr>
              <w:t>Trigger; rationale; recommendation; owner; due date; status; evidence; approval/override/dismissal/closure decision; user; timestamp and comments.</w:t>
            </w:r>
          </w:p>
        </w:tc>
      </w:tr>
      <w:tr>
        <w:trPr>
          <w:cantSplit/>
        </w:trPr>
        <w:tc>
          <w:tcPr>
            <w:tcW w:type="dxa" w:w="5141"/>
            <w:shd w:fill="EAF2F8"/>
            <w:tcMar>
              <w:top w:w="90" w:type="dxa"/>
              <w:start w:w="110" w:type="dxa"/>
              <w:bottom w:w="90" w:type="dxa"/>
              <w:end w:w="110" w:type="dxa"/>
            </w:tcMar>
            <w:vAlign w:val="top"/>
          </w:tcPr>
          <w:p>
            <w:pPr>
              <w:spacing w:after="40" w:line="240" w:lineRule="auto"/>
            </w:pPr>
            <w:r>
              <w:rPr>
                <w:rFonts w:ascii="Aptos" w:hAnsi="Aptos"/>
                <w:sz w:val="16"/>
              </w:rPr>
              <w:t>Communication</w:t>
            </w:r>
          </w:p>
        </w:tc>
        <w:tc>
          <w:tcPr>
            <w:tcW w:type="dxa" w:w="5141"/>
            <w:tcMar>
              <w:top w:w="90" w:type="dxa"/>
              <w:start w:w="110" w:type="dxa"/>
              <w:bottom w:w="90" w:type="dxa"/>
              <w:end w:w="110" w:type="dxa"/>
            </w:tcMar>
            <w:vAlign w:val="top"/>
          </w:tcPr>
          <w:p>
            <w:r>
              <w:t>Message/thread ID; participants; time; subject/body reference; attachment versions; labels; classification/reasons/confidence; linked object; reviewer/send/approval/delivery state.; source language; requested output language; translation status; glossary version; original/translation linkage</w:t>
            </w:r>
          </w:p>
        </w:tc>
      </w:tr>
      <w:tr>
        <w:trPr>
          <w:cantSplit/>
          <w:cantSplit/>
        </w:trPr>
        <w:tc>
          <w:tcPr>
            <w:tcW w:type="dxa" w:w="5141"/>
            <w:shd w:fill="EAF2F8"/>
            <w:tcMar>
              <w:top w:w="90" w:type="dxa"/>
              <w:start w:w="110" w:type="dxa"/>
              <w:bottom w:w="90" w:type="dxa"/>
              <w:end w:w="110" w:type="dxa"/>
            </w:tcMar>
            <w:vAlign w:val="top"/>
          </w:tcPr>
          <w:p>
            <w:pPr/>
            <w:r>
              <w:rPr>
                <w:rFonts w:ascii="Aptos" w:hAnsi="Aptos"/>
                <w:sz w:val="16"/>
              </w:rPr>
              <w:t>Scenario State</w:t>
            </w:r>
          </w:p>
        </w:tc>
        <w:tc>
          <w:tcPr>
            <w:tcW w:type="dxa" w:w="5141"/>
            <w:tcMar>
              <w:top w:w="90" w:type="dxa"/>
              <w:start w:w="110" w:type="dxa"/>
              <w:bottom w:w="90" w:type="dxa"/>
              <w:end w:w="110" w:type="dxa"/>
            </w:tcMar>
            <w:vAlign w:val="top"/>
          </w:tcPr>
          <w:p>
            <w:pPr/>
            <w:r>
              <w:rPr>
                <w:rFonts w:ascii="Aptos" w:hAnsi="Aptos"/>
                <w:sz w:val="16"/>
              </w:rPr>
              <w:t>Scenario ID; current stage; released evidence; completed user actions; decisions; approvals; current calculations; eligible next actions; checkpoints and reset status.</w:t>
            </w:r>
          </w:p>
        </w:tc>
      </w:tr>
      <w:tr>
        <w:tc>
          <w:tcPr>
            <w:tcW w:type="dxa" w:w="5141"/>
          </w:tcPr>
          <w:p>
            <w:r>
              <w:t>Source Document</w:t>
            </w:r>
          </w:p>
        </w:tc>
        <w:tc>
          <w:tcPr>
            <w:tcW w:type="dxa" w:w="5141"/>
          </w:tcPr>
          <w:p>
            <w:r>
              <w:t>Document ID; class; title; version; effective date; language; section structure; authority; ingestion status; supersession and file reference.</w:t>
            </w:r>
          </w:p>
        </w:tc>
      </w:tr>
      <w:tr>
        <w:tc>
          <w:tcPr>
            <w:tcW w:type="dxa" w:w="5141"/>
          </w:tcPr>
          <w:p>
            <w:r>
              <w:t>Requirement Register</w:t>
            </w:r>
          </w:p>
        </w:tc>
        <w:tc>
          <w:tcPr>
            <w:tcW w:type="dxa" w:w="5141"/>
          </w:tcPr>
          <w:p>
            <w:r>
              <w:t>Requirement ID; text; category; mandatory state; source document/record; section; evidence passage; confidence; conflict/gap status; user decision; approved version.</w:t>
            </w:r>
          </w:p>
        </w:tc>
      </w:tr>
      <w:tr>
        <w:tc>
          <w:tcPr>
            <w:tcW w:type="dxa" w:w="5141"/>
          </w:tcPr>
          <w:p>
            <w:r>
              <w:t>Generated RFP/ITT</w:t>
            </w:r>
          </w:p>
        </w:tc>
        <w:tc>
          <w:tcPr>
            <w:tcW w:type="dxa" w:w="5141"/>
          </w:tcPr>
          <w:p>
            <w:r>
              <w:t>Output ID; event; language; requirement-register version; clause-to-source links; status; approver; generated time; approved time; superseded version.</w:t>
            </w:r>
          </w:p>
        </w:tc>
      </w:tr>
    </w:tbl>
    <w:p>
      <w:r>
        <w:t>Each numbered step is a business-state transition within the existing Future Energy workflow. An internal replay fixture may load later evidence after prerequisites are met, but the customer interface must show normal business statuses rather than fixture checkpoints or release controls.</w:t>
      </w:r>
    </w:p>
    <w:p>
      <w:pPr>
        <w:pStyle w:val="Heading1"/>
      </w:pPr>
      <w:r>
        <w:t>Prototype end-to-end success path</w:t>
      </w:r>
    </w:p>
    <w:p>
      <w:pPr>
        <w:pStyle w:val="ListNumber"/>
      </w:pPr>
      <w:r>
        <w:t>Understand: Action Centre surfaces an upcoming expiry and/or deteriorating incumbent performance; the user validates need and scope.</w:t>
      </w:r>
    </w:p>
    <w:p>
      <w:pPr>
        <w:pStyle w:val="ListNumber"/>
      </w:pPr>
      <w:r>
        <w:t>Specify: Sourcing workspace is pre-populated with lanes, forecast volumes, service requirements and prior evidence; Compass identifies gaps and drafts a cited RFP/ITT in the selected British English or German language.</w:t>
      </w:r>
    </w:p>
    <w:p>
      <w:pPr>
        <w:pStyle w:val="ListNumber"/>
      </w:pPr>
      <w:r>
        <w:t>Validate: User validates and sends an invitation draft in the selected language; the dedicated synthetic inbox receives relevant, irrelevant, ambiguous and revised English- and German-language supplier messages.</w:t>
      </w:r>
    </w:p>
    <w:p>
      <w:pPr>
        <w:pStyle w:val="ListNumber"/>
      </w:pPr>
      <w:r>
        <w:t>Validate: Compass detects source language, explains each classification, quarantines ambiguity, links confirmed original-language content, labels translations and records the revised rate card as a new version.</w:t>
      </w:r>
    </w:p>
    <w:p>
      <w:pPr>
        <w:pStyle w:val="ListNumber"/>
      </w:pPr>
      <w:r>
        <w:t>Score: At least three materially different proposals are normalised; gates and award scenarios are compared; incumbent history is visible and challenger remains No History.</w:t>
      </w:r>
    </w:p>
    <w:p>
      <w:pPr>
        <w:pStyle w:val="ListNumber"/>
      </w:pPr>
      <w:r>
        <w:t>Score: Compass explains the preferred scenario and alternatives; a material clarification produces a consistent anonymized all-bidder draft.</w:t>
      </w:r>
    </w:p>
    <w:p>
      <w:pPr>
        <w:pStyle w:val="ListNumber"/>
      </w:pPr>
      <w:r>
        <w:t>Award: Named approver approves or returns the recommendation; approved commitments become the post-award performance baseline.</w:t>
      </w:r>
    </w:p>
    <w:p>
      <w:pPr>
        <w:pStyle w:val="ListNumber"/>
      </w:pPr>
      <w:r>
        <w:t>Monitor: Historical replay or synthetic execution shows KPI deterioration and/or rate leakage, reproducibly changes the score and creates a corrective action.</w:t>
      </w:r>
    </w:p>
    <w:p>
      <w:pPr>
        <w:pStyle w:val="ListNumber"/>
      </w:pPr>
      <w:r>
        <w:t>Act: A relevant German performance email is linked, a labelled British English translation is available for review, an approved German corrective-action message is demonstrated, Vendor 360 retains the outcome and renewal uses verified history.</w:t>
      </w:r>
    </w:p>
    <w:p>
      <w:pPr>
        <w:pStyle w:val="Heading1"/>
      </w:pPr>
      <w:r>
        <w:t>BRD acceptance and traceability matrix</w:t>
      </w:r>
    </w:p>
    <w:tbl>
      <w:tblPr>
        <w:tblStyle w:val="TableGrid"/>
        <w:tblW w:type="auto" w:w="0"/>
        <w:jc w:val="center"/>
        <w:tblLook w:firstColumn="1" w:firstRow="1" w:lastColumn="0" w:lastRow="0" w:noHBand="0" w:noVBand="1" w:val="04A0"/>
        <w:tblBorders>
          <w:top w:val="single" w:sz="4" w:color="B8C7D9"/>
          <w:left w:val="single" w:sz="4" w:color="B8C7D9"/>
          <w:bottom w:val="single" w:sz="4" w:color="B8C7D9"/>
          <w:right w:val="single" w:sz="4" w:color="B8C7D9"/>
          <w:insideH w:val="single" w:sz="4" w:color="B8C7D9"/>
          <w:insideV w:val="single" w:sz="4" w:color="B8C7D9"/>
        </w:tblBorders>
      </w:tblPr>
      <w:tblGrid>
        <w:gridCol w:w="5141"/>
        <w:gridCol w:w="5141"/>
      </w:tblGrid>
      <w:tr>
        <w:tc>
          <w:tcPr>
            <w:tcW w:type="dxa" w:w="5141"/>
            <w:shd w:fill="17365D"/>
            <w:vAlign w:val="top"/>
          </w:tcPr>
          <w:p>
            <w:pPr>
              <w:spacing w:after="40" w:line="240" w:lineRule="auto"/>
            </w:pPr>
            <w:r>
              <w:rPr>
                <w:rFonts w:ascii="Aptos" w:hAnsi="Aptos"/>
                <w:b/>
                <w:color w:val="FFFFFF"/>
                <w:sz w:val="16"/>
              </w:rPr>
              <w:t>BRD acceptance</w:t>
            </w:r>
          </w:p>
        </w:tc>
        <w:tc>
          <w:tcPr>
            <w:tcW w:type="dxa" w:w="5141"/>
            <w:shd w:fill="17365D"/>
            <w:vAlign w:val="top"/>
          </w:tcPr>
          <w:p>
            <w:pPr>
              <w:spacing w:after="40" w:line="240" w:lineRule="auto"/>
            </w:pPr>
            <w:r>
              <w:rPr>
                <w:rFonts w:ascii="Aptos" w:hAnsi="Aptos"/>
                <w:b/>
                <w:color w:val="FFFFFF"/>
                <w:sz w:val="16"/>
              </w:rPr>
              <w:t>Primary PRD coverage</w:t>
            </w:r>
          </w:p>
        </w:tc>
      </w:tr>
      <w:tr>
        <w:tc>
          <w:tcPr>
            <w:tcW w:type="dxa" w:w="5141"/>
            <w:shd w:fill="EAF2F8"/>
            <w:tcMar>
              <w:top w:w="90" w:type="dxa"/>
              <w:start w:w="110" w:type="dxa"/>
              <w:bottom w:w="90" w:type="dxa"/>
              <w:end w:w="110" w:type="dxa"/>
            </w:tcMar>
            <w:vAlign w:val="top"/>
          </w:tcPr>
          <w:p>
            <w:pPr>
              <w:spacing w:after="40" w:line="240" w:lineRule="auto"/>
            </w:pPr>
            <w:r>
              <w:rPr>
                <w:rFonts w:ascii="Aptos" w:hAnsi="Aptos"/>
                <w:sz w:val="16"/>
              </w:rPr>
              <w:t>AC-01</w:t>
            </w:r>
          </w:p>
        </w:tc>
        <w:tc>
          <w:tcPr>
            <w:tcW w:type="dxa" w:w="5141"/>
            <w:tcMar>
              <w:top w:w="90" w:type="dxa"/>
              <w:start w:w="110" w:type="dxa"/>
              <w:bottom w:w="90" w:type="dxa"/>
              <w:end w:w="110" w:type="dxa"/>
            </w:tcMar>
            <w:vAlign w:val="top"/>
          </w:tcPr>
          <w:p>
            <w:pPr>
              <w:spacing w:after="40" w:line="240" w:lineRule="auto"/>
            </w:pPr>
            <w:r>
              <w:rPr>
                <w:rFonts w:ascii="Aptos" w:hAnsi="Aptos"/>
                <w:sz w:val="16"/>
              </w:rPr>
              <w:t>Use Cases 1, 5, 7 and 8; success path</w:t>
            </w:r>
          </w:p>
        </w:tc>
      </w:tr>
      <w:tr>
        <w:tc>
          <w:tcPr>
            <w:tcW w:type="dxa" w:w="5141"/>
            <w:shd w:fill="EAF2F8"/>
            <w:tcMar>
              <w:top w:w="90" w:type="dxa"/>
              <w:start w:w="110" w:type="dxa"/>
              <w:bottom w:w="90" w:type="dxa"/>
              <w:end w:w="110" w:type="dxa"/>
            </w:tcMar>
            <w:vAlign w:val="top"/>
          </w:tcPr>
          <w:p>
            <w:pPr>
              <w:spacing w:after="40" w:line="240" w:lineRule="auto"/>
            </w:pPr>
            <w:r>
              <w:rPr>
                <w:rFonts w:ascii="Aptos" w:hAnsi="Aptos"/>
                <w:sz w:val="16"/>
              </w:rPr>
              <w:t>AC-02</w:t>
            </w:r>
          </w:p>
        </w:tc>
        <w:tc>
          <w:tcPr>
            <w:tcW w:type="dxa" w:w="5141"/>
            <w:tcMar>
              <w:top w:w="90" w:type="dxa"/>
              <w:start w:w="110" w:type="dxa"/>
              <w:bottom w:w="90" w:type="dxa"/>
              <w:end w:w="110" w:type="dxa"/>
            </w:tcMar>
            <w:vAlign w:val="top"/>
          </w:tcPr>
          <w:p>
            <w:pPr>
              <w:spacing w:after="40" w:line="240" w:lineRule="auto"/>
            </w:pPr>
            <w:r>
              <w:rPr>
                <w:rFonts w:ascii="Aptos" w:hAnsi="Aptos"/>
                <w:sz w:val="16"/>
              </w:rPr>
              <w:t>Use Cases 1 and 2</w:t>
            </w:r>
          </w:p>
        </w:tc>
      </w:tr>
      <w:tr>
        <w:tc>
          <w:tcPr>
            <w:tcW w:type="dxa" w:w="5141"/>
            <w:shd w:fill="EAF2F8"/>
            <w:tcMar>
              <w:top w:w="90" w:type="dxa"/>
              <w:start w:w="110" w:type="dxa"/>
              <w:bottom w:w="90" w:type="dxa"/>
              <w:end w:w="110" w:type="dxa"/>
            </w:tcMar>
            <w:vAlign w:val="top"/>
          </w:tcPr>
          <w:p>
            <w:pPr>
              <w:spacing w:after="40" w:line="240" w:lineRule="auto"/>
            </w:pPr>
            <w:r>
              <w:rPr>
                <w:rFonts w:ascii="Aptos" w:hAnsi="Aptos"/>
                <w:sz w:val="16"/>
              </w:rPr>
              <w:t>AC-03 to AC-06</w:t>
            </w:r>
          </w:p>
        </w:tc>
        <w:tc>
          <w:tcPr>
            <w:tcW w:type="dxa" w:w="5141"/>
            <w:tcMar>
              <w:top w:w="90" w:type="dxa"/>
              <w:start w:w="110" w:type="dxa"/>
              <w:bottom w:w="90" w:type="dxa"/>
              <w:end w:w="110" w:type="dxa"/>
            </w:tcMar>
            <w:vAlign w:val="top"/>
          </w:tcPr>
          <w:p>
            <w:pPr>
              <w:spacing w:after="40" w:line="240" w:lineRule="auto"/>
            </w:pPr>
            <w:r>
              <w:rPr>
                <w:rFonts w:ascii="Aptos" w:hAnsi="Aptos"/>
                <w:sz w:val="16"/>
              </w:rPr>
              <w:t>Use Case 4</w:t>
            </w:r>
          </w:p>
        </w:tc>
      </w:tr>
      <w:tr>
        <w:tc>
          <w:tcPr>
            <w:tcW w:type="dxa" w:w="5141"/>
            <w:shd w:fill="EAF2F8"/>
            <w:tcMar>
              <w:top w:w="90" w:type="dxa"/>
              <w:start w:w="110" w:type="dxa"/>
              <w:bottom w:w="90" w:type="dxa"/>
              <w:end w:w="110" w:type="dxa"/>
            </w:tcMar>
            <w:vAlign w:val="top"/>
          </w:tcPr>
          <w:p>
            <w:pPr>
              <w:spacing w:after="40" w:line="240" w:lineRule="auto"/>
            </w:pPr>
            <w:r>
              <w:rPr>
                <w:rFonts w:ascii="Aptos" w:hAnsi="Aptos"/>
                <w:sz w:val="16"/>
              </w:rPr>
              <w:t>AC-07 and AC-08</w:t>
            </w:r>
          </w:p>
        </w:tc>
        <w:tc>
          <w:tcPr>
            <w:tcW w:type="dxa" w:w="5141"/>
            <w:tcMar>
              <w:top w:w="90" w:type="dxa"/>
              <w:start w:w="110" w:type="dxa"/>
              <w:bottom w:w="90" w:type="dxa"/>
              <w:end w:w="110" w:type="dxa"/>
            </w:tcMar>
            <w:vAlign w:val="top"/>
          </w:tcPr>
          <w:p>
            <w:pPr>
              <w:spacing w:after="40" w:line="240" w:lineRule="auto"/>
            </w:pPr>
            <w:r>
              <w:rPr>
                <w:rFonts w:ascii="Aptos" w:hAnsi="Aptos"/>
                <w:sz w:val="16"/>
              </w:rPr>
              <w:t>Use Case 5</w:t>
            </w:r>
          </w:p>
        </w:tc>
      </w:tr>
      <w:tr>
        <w:tc>
          <w:tcPr>
            <w:tcW w:type="dxa" w:w="5141"/>
            <w:shd w:fill="EAF2F8"/>
            <w:tcMar>
              <w:top w:w="90" w:type="dxa"/>
              <w:start w:w="110" w:type="dxa"/>
              <w:bottom w:w="90" w:type="dxa"/>
              <w:end w:w="110" w:type="dxa"/>
            </w:tcMar>
            <w:vAlign w:val="top"/>
          </w:tcPr>
          <w:p>
            <w:pPr>
              <w:spacing w:after="40" w:line="240" w:lineRule="auto"/>
            </w:pPr>
            <w:r>
              <w:rPr>
                <w:rFonts w:ascii="Aptos" w:hAnsi="Aptos"/>
                <w:sz w:val="16"/>
              </w:rPr>
              <w:t>AC-09 and AC-10</w:t>
            </w:r>
          </w:p>
        </w:tc>
        <w:tc>
          <w:tcPr>
            <w:tcW w:type="dxa" w:w="5141"/>
            <w:tcMar>
              <w:top w:w="90" w:type="dxa"/>
              <w:start w:w="110" w:type="dxa"/>
              <w:bottom w:w="90" w:type="dxa"/>
              <w:end w:w="110" w:type="dxa"/>
            </w:tcMar>
            <w:vAlign w:val="top"/>
          </w:tcPr>
          <w:p>
            <w:pPr>
              <w:spacing w:after="40" w:line="240" w:lineRule="auto"/>
            </w:pPr>
            <w:r>
              <w:rPr>
                <w:rFonts w:ascii="Aptos" w:hAnsi="Aptos"/>
                <w:sz w:val="16"/>
              </w:rPr>
              <w:t>Use Cases 6 and 7</w:t>
            </w:r>
          </w:p>
        </w:tc>
      </w:tr>
      <w:tr>
        <w:tc>
          <w:tcPr>
            <w:tcW w:type="dxa" w:w="5141"/>
            <w:shd w:fill="EAF2F8"/>
            <w:tcMar>
              <w:top w:w="90" w:type="dxa"/>
              <w:start w:w="110" w:type="dxa"/>
              <w:bottom w:w="90" w:type="dxa"/>
              <w:end w:w="110" w:type="dxa"/>
            </w:tcMar>
            <w:vAlign w:val="top"/>
          </w:tcPr>
          <w:p>
            <w:pPr>
              <w:spacing w:after="40" w:line="240" w:lineRule="auto"/>
            </w:pPr>
            <w:r>
              <w:rPr>
                <w:rFonts w:ascii="Aptos" w:hAnsi="Aptos"/>
                <w:sz w:val="16"/>
              </w:rPr>
              <w:t>AC-11</w:t>
            </w:r>
          </w:p>
        </w:tc>
        <w:tc>
          <w:tcPr>
            <w:tcW w:type="dxa" w:w="5141"/>
            <w:tcMar>
              <w:top w:w="90" w:type="dxa"/>
              <w:start w:w="110" w:type="dxa"/>
              <w:bottom w:w="90" w:type="dxa"/>
              <w:end w:w="110" w:type="dxa"/>
            </w:tcMar>
            <w:vAlign w:val="top"/>
          </w:tcPr>
          <w:p>
            <w:pPr>
              <w:spacing w:after="40" w:line="240" w:lineRule="auto"/>
            </w:pPr>
            <w:r>
              <w:rPr>
                <w:rFonts w:ascii="Aptos" w:hAnsi="Aptos"/>
                <w:sz w:val="16"/>
              </w:rPr>
              <w:t>Use Case 8</w:t>
            </w:r>
          </w:p>
        </w:tc>
      </w:tr>
      <w:tr>
        <w:tc>
          <w:tcPr>
            <w:tcW w:type="dxa" w:w="5141"/>
            <w:shd w:fill="EAF2F8"/>
            <w:tcMar>
              <w:top w:w="90" w:type="dxa"/>
              <w:start w:w="110" w:type="dxa"/>
              <w:bottom w:w="90" w:type="dxa"/>
              <w:end w:w="110" w:type="dxa"/>
            </w:tcMar>
            <w:vAlign w:val="top"/>
          </w:tcPr>
          <w:p>
            <w:pPr>
              <w:spacing w:after="40" w:line="240" w:lineRule="auto"/>
            </w:pPr>
            <w:r>
              <w:rPr>
                <w:rFonts w:ascii="Aptos" w:hAnsi="Aptos"/>
                <w:sz w:val="16"/>
              </w:rPr>
              <w:t>AC-12</w:t>
            </w:r>
          </w:p>
        </w:tc>
        <w:tc>
          <w:tcPr>
            <w:tcW w:type="dxa" w:w="5141"/>
            <w:tcMar>
              <w:top w:w="90" w:type="dxa"/>
              <w:start w:w="110" w:type="dxa"/>
              <w:bottom w:w="90" w:type="dxa"/>
              <w:end w:w="110" w:type="dxa"/>
            </w:tcMar>
            <w:vAlign w:val="top"/>
          </w:tcPr>
          <w:p>
            <w:pPr>
              <w:spacing w:after="40" w:line="240" w:lineRule="auto"/>
            </w:pPr>
            <w:r>
              <w:rPr>
                <w:rFonts w:ascii="Aptos" w:hAnsi="Aptos"/>
                <w:sz w:val="16"/>
              </w:rPr>
              <w:t>All use cases; semantic guardrails</w:t>
            </w:r>
          </w:p>
        </w:tc>
      </w:tr>
      <w:tr>
        <w:tc>
          <w:tcPr>
            <w:tcW w:type="dxa" w:w="5141"/>
            <w:shd w:fill="EAF2F8"/>
            <w:tcMar>
              <w:top w:w="90" w:type="dxa"/>
              <w:start w:w="110" w:type="dxa"/>
              <w:bottom w:w="90" w:type="dxa"/>
              <w:end w:w="110" w:type="dxa"/>
            </w:tcMar>
            <w:vAlign w:val="top"/>
          </w:tcPr>
          <w:p>
            <w:pPr>
              <w:spacing w:after="40" w:line="240" w:lineRule="auto"/>
            </w:pPr>
            <w:r>
              <w:rPr>
                <w:rFonts w:ascii="Aptos" w:hAnsi="Aptos"/>
                <w:sz w:val="16"/>
              </w:rPr>
              <w:t>AC-13 to AC-18</w:t>
            </w:r>
          </w:p>
        </w:tc>
        <w:tc>
          <w:tcPr>
            <w:tcW w:type="dxa" w:w="5141"/>
            <w:tcMar>
              <w:top w:w="90" w:type="dxa"/>
              <w:start w:w="110" w:type="dxa"/>
              <w:bottom w:w="90" w:type="dxa"/>
              <w:end w:w="110" w:type="dxa"/>
            </w:tcMar>
            <w:vAlign w:val="top"/>
          </w:tcPr>
          <w:p>
            <w:pPr>
              <w:spacing w:after="40" w:line="240" w:lineRule="auto"/>
            </w:pPr>
            <w:r>
              <w:rPr>
                <w:rFonts w:ascii="Aptos" w:hAnsi="Aptos"/>
                <w:sz w:val="16"/>
              </w:rPr>
              <w:t>Use Case 3</w:t>
            </w:r>
          </w:p>
        </w:tc>
      </w:tr>
      <w:tr>
        <w:trPr>
          <w:cantSplit/>
        </w:trPr>
        <w:tc>
          <w:tcPr>
            <w:tcW w:type="dxa" w:w="5141"/>
            <w:shd w:fill="EAF2F8"/>
            <w:tcMar>
              <w:top w:w="90" w:type="dxa"/>
              <w:start w:w="110" w:type="dxa"/>
              <w:bottom w:w="90" w:type="dxa"/>
              <w:end w:w="110" w:type="dxa"/>
            </w:tcMar>
            <w:vAlign w:val="top"/>
          </w:tcPr>
          <w:p>
            <w:pPr/>
            <w:r>
              <w:rPr>
                <w:rFonts w:ascii="Aptos" w:hAnsi="Aptos"/>
                <w:sz w:val="16"/>
              </w:rPr>
              <w:t>AC-19</w:t>
            </w:r>
          </w:p>
        </w:tc>
        <w:tc>
          <w:tcPr>
            <w:tcW w:type="dxa" w:w="5141"/>
            <w:tcMar>
              <w:top w:w="90" w:type="dxa"/>
              <w:start w:w="110" w:type="dxa"/>
              <w:bottom w:w="90" w:type="dxa"/>
              <w:end w:w="110" w:type="dxa"/>
            </w:tcMar>
            <w:vAlign w:val="top"/>
          </w:tcPr>
          <w:p>
            <w:pPr/>
            <w:r>
              <w:rPr>
                <w:rFonts w:ascii="Aptos" w:hAnsi="Aptos"/>
                <w:sz w:val="16"/>
              </w:rPr>
              <w:t>Stateful prototype behaviour; all use cases and success path</w:t>
            </w:r>
          </w:p>
        </w:tc>
      </w:tr>
      <w:tr>
        <w:trPr>
          <w:cantSplit/>
          <w:cantSplit/>
        </w:trPr>
        <w:tc>
          <w:tcPr>
            <w:tcW w:type="dxa" w:w="5141"/>
            <w:shd w:fill="EAF2F8"/>
            <w:tcMar>
              <w:top w:w="90" w:type="dxa"/>
              <w:start w:w="110" w:type="dxa"/>
              <w:bottom w:w="90" w:type="dxa"/>
              <w:end w:w="110" w:type="dxa"/>
            </w:tcMar>
            <w:vAlign w:val="top"/>
          </w:tcPr>
          <w:p>
            <w:pPr/>
            <w:r>
              <w:rPr>
                <w:rFonts w:ascii="Aptos" w:hAnsi="Aptos"/>
                <w:sz w:val="16"/>
              </w:rPr>
              <w:t>AC-20</w:t>
            </w:r>
          </w:p>
        </w:tc>
        <w:tc>
          <w:tcPr>
            <w:tcW w:type="dxa" w:w="5141"/>
            <w:tcMar>
              <w:top w:w="90" w:type="dxa"/>
              <w:start w:w="110" w:type="dxa"/>
              <w:bottom w:w="90" w:type="dxa"/>
              <w:end w:w="110" w:type="dxa"/>
            </w:tcMar>
            <w:vAlign w:val="top"/>
          </w:tcPr>
          <w:p>
            <w:pPr/>
            <w:r>
              <w:rPr>
                <w:rFonts w:ascii="Aptos" w:hAnsi="Aptos"/>
                <w:sz w:val="16"/>
              </w:rPr>
              <w:t>Stateful stages 3, 4 and 6; Use Cases 3, 5 and 7</w:t>
            </w:r>
          </w:p>
        </w:tc>
      </w:tr>
      <w:tr>
        <w:trPr>
          <w:cantSplit/>
          <w:cantSplit/>
          <w:cantSplit/>
        </w:trPr>
        <w:tc>
          <w:tcPr>
            <w:tcW w:type="dxa" w:w="5141"/>
            <w:shd w:fill="EAF2F8"/>
            <w:tcMar>
              <w:top w:w="90" w:type="dxa"/>
              <w:start w:w="110" w:type="dxa"/>
              <w:bottom w:w="90" w:type="dxa"/>
              <w:end w:w="110" w:type="dxa"/>
            </w:tcMar>
            <w:vAlign w:val="top"/>
          </w:tcPr>
          <w:p>
            <w:pPr/>
            <w:r>
              <w:rPr>
                <w:rFonts w:ascii="Aptos" w:hAnsi="Aptos"/>
                <w:sz w:val="16"/>
              </w:rPr>
              <w:t>AC-21</w:t>
            </w:r>
          </w:p>
        </w:tc>
        <w:tc>
          <w:tcPr>
            <w:tcW w:type="dxa" w:w="5141"/>
            <w:tcMar>
              <w:top w:w="90" w:type="dxa"/>
              <w:start w:w="110" w:type="dxa"/>
              <w:bottom w:w="90" w:type="dxa"/>
              <w:end w:w="110" w:type="dxa"/>
            </w:tcMar>
            <w:vAlign w:val="top"/>
          </w:tcPr>
          <w:p>
            <w:pPr/>
            <w:r>
              <w:rPr>
                <w:rFonts w:ascii="Aptos" w:hAnsi="Aptos"/>
                <w:sz w:val="16"/>
              </w:rPr>
              <w:t>Stateful stage 8; cross-cutting replay requirement</w:t>
            </w:r>
          </w:p>
        </w:tc>
      </w:tr>
      <w:tr>
        <w:trPr>
          <w:cantSplit/>
          <w:cantSplit/>
          <w:cantSplit/>
        </w:trPr>
        <w:tc>
          <w:tcPr>
            <w:tcW w:type="dxa" w:w="5141"/>
            <w:shd w:fill="EAF2F8"/>
            <w:tcMar>
              <w:top w:w="90" w:type="dxa"/>
              <w:start w:w="110" w:type="dxa"/>
              <w:bottom w:w="90" w:type="dxa"/>
              <w:end w:w="110" w:type="dxa"/>
            </w:tcMar>
            <w:vAlign w:val="top"/>
          </w:tcPr>
          <w:p>
            <w:pPr/>
            <w:r>
              <w:rPr>
                <w:rFonts w:ascii="Aptos" w:hAnsi="Aptos"/>
                <w:sz w:val="16"/>
              </w:rPr>
              <w:t>AC-22</w:t>
            </w:r>
          </w:p>
        </w:tc>
        <w:tc>
          <w:tcPr>
            <w:tcW w:type="dxa" w:w="5141"/>
            <w:tcMar>
              <w:top w:w="90" w:type="dxa"/>
              <w:start w:w="110" w:type="dxa"/>
              <w:bottom w:w="90" w:type="dxa"/>
              <w:end w:w="110" w:type="dxa"/>
            </w:tcMar>
            <w:vAlign w:val="top"/>
          </w:tcPr>
          <w:p>
            <w:pPr/>
            <w:r>
              <w:rPr>
                <w:rFonts w:ascii="Aptos" w:hAnsi="Aptos"/>
                <w:sz w:val="16"/>
              </w:rPr>
              <w:t>Use Cases 2 and 3; language and localisation requirement</w:t>
            </w:r>
          </w:p>
        </w:tc>
      </w:tr>
      <w:tr>
        <w:trPr>
          <w:cantSplit/>
          <w:cantSplit/>
          <w:cantSplit/>
        </w:trPr>
        <w:tc>
          <w:tcPr>
            <w:tcW w:type="dxa" w:w="5141"/>
            <w:shd w:fill="EAF2F8"/>
            <w:tcMar>
              <w:top w:w="90" w:type="dxa"/>
              <w:start w:w="110" w:type="dxa"/>
              <w:bottom w:w="90" w:type="dxa"/>
              <w:end w:w="110" w:type="dxa"/>
            </w:tcMar>
            <w:vAlign w:val="top"/>
          </w:tcPr>
          <w:p>
            <w:pPr/>
            <w:r>
              <w:rPr>
                <w:rFonts w:ascii="Aptos" w:hAnsi="Aptos"/>
                <w:sz w:val="16"/>
              </w:rPr>
              <w:t>AC-23</w:t>
            </w:r>
          </w:p>
        </w:tc>
        <w:tc>
          <w:tcPr>
            <w:tcW w:type="dxa" w:w="5141"/>
            <w:tcMar>
              <w:top w:w="90" w:type="dxa"/>
              <w:start w:w="110" w:type="dxa"/>
              <w:bottom w:w="90" w:type="dxa"/>
              <w:end w:w="110" w:type="dxa"/>
            </w:tcMar>
            <w:vAlign w:val="top"/>
          </w:tcPr>
          <w:p>
            <w:pPr/>
            <w:r>
              <w:rPr>
                <w:rFonts w:ascii="Aptos" w:hAnsi="Aptos"/>
                <w:sz w:val="16"/>
              </w:rPr>
              <w:t>Use Case 3; communication data model and semantic guardrails</w:t>
            </w:r>
          </w:p>
        </w:tc>
      </w:tr>
      <w:tr>
        <w:trPr>
          <w:cantSplit/>
          <w:cantSplit/>
          <w:cantSplit/>
        </w:trPr>
        <w:tc>
          <w:tcPr>
            <w:tcW w:type="dxa" w:w="5141"/>
            <w:shd w:fill="EAF2F8"/>
            <w:tcMar>
              <w:top w:w="90" w:type="dxa"/>
              <w:start w:w="110" w:type="dxa"/>
              <w:bottom w:w="90" w:type="dxa"/>
              <w:end w:w="110" w:type="dxa"/>
            </w:tcMar>
            <w:vAlign w:val="top"/>
          </w:tcPr>
          <w:p>
            <w:pPr/>
            <w:r>
              <w:rPr>
                <w:rFonts w:ascii="Aptos" w:hAnsi="Aptos"/>
                <w:sz w:val="16"/>
              </w:rPr>
              <w:t>AC-24</w:t>
            </w:r>
          </w:p>
        </w:tc>
        <w:tc>
          <w:tcPr>
            <w:tcW w:type="dxa" w:w="5141"/>
            <w:tcMar>
              <w:top w:w="90" w:type="dxa"/>
              <w:start w:w="110" w:type="dxa"/>
              <w:bottom w:w="90" w:type="dxa"/>
              <w:end w:w="110" w:type="dxa"/>
            </w:tcMar>
            <w:vAlign w:val="top"/>
          </w:tcPr>
          <w:p>
            <w:pPr/>
            <w:r>
              <w:rPr>
                <w:rFonts w:ascii="Aptos" w:hAnsi="Aptos"/>
                <w:sz w:val="16"/>
              </w:rPr>
              <w:t>Language and localisation requirement; data presentation</w:t>
            </w:r>
          </w:p>
        </w:tc>
      </w:tr>
    </w:tbl>
    <w:p>
      <w:pPr>
        <w:pStyle w:val="Heading1"/>
      </w:pPr>
      <w:r>
        <w:t>Open configuration decisions</w:t>
      </w:r>
    </w:p>
    <w:p>
      <w:pPr>
        <w:pStyle w:val="ListBullet"/>
      </w:pPr>
      <w:r>
        <w:t>Target logistics service, geography, representative lanes and single-/multi-award tender structure.</w:t>
      </w:r>
    </w:p>
    <w:p>
      <w:pPr>
        <w:pStyle w:val="ListBullet"/>
      </w:pPr>
      <w:r>
        <w:t>Approved performance metrics, weights, thresholds, periods and minimum evidence for displaying a total score.</w:t>
      </w:r>
    </w:p>
    <w:p>
      <w:pPr>
        <w:pStyle w:val="ListBullet"/>
      </w:pPr>
      <w:r>
        <w:t>Treatment of incumbent performance in evaluation: weighted criterion, risk overlay or separate decision evidence.</w:t>
      </w:r>
    </w:p>
    <w:p>
      <w:pPr>
        <w:pStyle w:val="ListBullet"/>
      </w:pPr>
      <w:r>
        <w:t>Procurement policy, approval thresholds, roles and override authority.</w:t>
      </w:r>
    </w:p>
    <w:p>
      <w:pPr>
        <w:pStyle w:val="ListBullet"/>
      </w:pPr>
      <w:r>
        <w:t>Authorised email provider/scope, filtering confidence thresholds, reviewer roles, outbound authority and retention.</w:t>
      </w:r>
    </w:p>
    <w:p>
      <w:pPr>
        <w:pStyle w:val="ListBullet"/>
      </w:pPr>
      <w:r>
        <w:t>Representative data sources, ownership and which synthetic feeds may be replaced with customer-approved history.</w:t>
      </w:r>
    </w:p>
    <w:p>
      <w:pPr>
        <w:pStyle w:val="ListBullet"/>
      </w:pPr>
      <w:r>
        <w:t>Showcase date and final prototype acceptance owners.</w:t>
      </w:r>
    </w:p>
    <w:p/>
    <w:p>
      <w:pPr>
        <w:pStyle w:val="ListBullet"/>
      </w:pPr>
      <w:r>
        <w:t>Internal replay checkpoints, prerequisite actions, fixture-loading conditions and reset behaviour. These controls are excluded from the customer-facing UI.</w:t>
      </w:r>
    </w:p>
    <w:p>
      <w:pPr>
        <w:pStyle w:val="ListBullet"/>
      </w:pPr>
      <w:r>
        <w:t>Approved British English and German terminology, formal tone, locale conventions, translation labelling and content requiring human language review.</w:t>
      </w:r>
    </w:p>
    <w:p>
      <w:pPr>
        <w:spacing w:before="160"/>
      </w:pPr>
      <w:r>
        <w:t>Source discipline: This PRD is derived from Compass Logistics Procurement Future Energy Adaptation BRD v0.6. Future Energy is the required product, UI and naming baseline. The primary customer-facing stages are Understand, Specify, Validate, Score and Award, extended by Monitor and Act for post-award vendor performance.</w:t>
      </w:r>
    </w:p>
    <w:sectPr w:rsidR="00FC693F" w:rsidRPr="0006063C" w:rsidSect="00034616">
      <w:headerReference w:type="default" r:id="rId9"/>
      <w:footerReference w:type="default" r:id="rId10"/>
      <w:pgSz w:w="12240" w:h="15840"/>
      <w:pgMar w:top="835" w:right="979" w:bottom="792"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Compass Logistics Procurement — Limited Prototype  •  PRD v0.3  •  21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2F75B5"/>
        <w:sz w:val="16"/>
      </w:rPr>
      <w:t>PROSERA COMPASS  |  PRODUCT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Compass Logistics Procurement Limited Prototype PRD v0.3</dc:title>
  <dc:subject>Product requirements for a stateful bilingual logistics procurement prototype</dc:subject>
  <dc:creator>Prosera Inc.</dc:creator>
  <cp:keywords/>
  <dc:description>generated by python-docx</dc:description>
  <cp:lastModifiedBy/>
  <cp:revision>1</cp:revision>
  <dcterms:created xsi:type="dcterms:W3CDTF">2013-12-23T23:15:00Z</dcterms:created>
  <dcterms:modified xsi:type="dcterms:W3CDTF">2013-12-23T23:15:00Z</dcterms:modified>
  <cp:category/>
</cp:coreProperties>
</file>