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GreenQuery - Sustainable BigQuery Optimization</w:t>
      </w:r>
      <w:r>
        <w:br/>
      </w:r>
      <w:r>
        <w:rPr>
          <w:i/>
          <w:iCs/>
        </w:rPr>
        <w:t xml:space="preserve">Reboot 2025 | Solution Design | Lloyds Technology Centre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27 June 2025</w:t>
      </w:r>
    </w:p>
    <w:p>
      <w:r>
        <w:pict>
          <v:rect style="width:0;height:1.5pt" o:hralign="center" o:hrstd="t" o:hr="t"/>
        </w:pict>
      </w:r>
    </w:p>
    <w:bookmarkStart w:id="20" w:name="problem-statement"/>
    <w:p>
      <w:pPr>
        <w:pStyle w:val="Heading3"/>
      </w:pPr>
      <w:r>
        <w:rPr>
          <w:b/>
          <w:bCs/>
        </w:rPr>
        <w:t xml:space="preserve">Problem Statement</w:t>
      </w:r>
    </w:p>
    <w:p>
      <w:pPr>
        <w:pStyle w:val="FirstParagraph"/>
      </w:pPr>
      <w:r>
        <w:t xml:space="preserve">BigQuery is a powerful data warehouse solution, but without proper monitoring, it can become both expensive and energy-inefficient. Inefficient queries lead to increased compute costs and elevated carbon emissions.</w:t>
      </w:r>
      <w:r>
        <w:t xml:space="preserve"> </w:t>
      </w:r>
      <w:r>
        <w:rPr>
          <w:b/>
          <w:bCs/>
        </w:rPr>
        <w:t xml:space="preserve">GreenQuery</w:t>
      </w:r>
      <w:r>
        <w:t xml:space="preserve"> </w:t>
      </w:r>
      <w:r>
        <w:t xml:space="preserve">addresses these challenges by offering predictive, sustainable, and cost-efficient query optimization.</w:t>
      </w:r>
    </w:p>
    <w:p>
      <w:r>
        <w:pict>
          <v:rect style="width:0;height:1.5pt" o:hralign="center" o:hrstd="t" o:hr="t"/>
        </w:pict>
      </w:r>
    </w:p>
    <w:bookmarkEnd w:id="20"/>
    <w:bookmarkStart w:id="21" w:name="vision"/>
    <w:p>
      <w:pPr>
        <w:pStyle w:val="Heading3"/>
      </w:pPr>
      <w:r>
        <w:rPr>
          <w:b/>
          <w:bCs/>
        </w:rPr>
        <w:t xml:space="preserve">Vision</w:t>
      </w:r>
    </w:p>
    <w:p>
      <w:pPr>
        <w:pStyle w:val="FirstParagraph"/>
      </w:pPr>
      <w:r>
        <w:t xml:space="preserve">Empower teams with actionable insights into BigQuery usage, enabling them to forecast costs and CO2 emissions before execution. GreenQuery provides intelligent, ML-driven recommendations to optimize queries and reduce resource wastage.</w:t>
      </w:r>
    </w:p>
    <w:p>
      <w:r>
        <w:pict>
          <v:rect style="width:0;height:1.5pt" o:hralign="center" o:hrstd="t" o:hr="t"/>
        </w:pict>
      </w:r>
    </w:p>
    <w:bookmarkEnd w:id="21"/>
    <w:bookmarkStart w:id="22" w:name="high-level-architecture-solution"/>
    <w:p>
      <w:pPr>
        <w:pStyle w:val="Heading3"/>
      </w:pPr>
      <w:r>
        <w:rPr>
          <w:b/>
          <w:bCs/>
        </w:rPr>
        <w:t xml:space="preserve">High-Level Architecture Solution</w:t>
      </w:r>
    </w:p>
    <w:p>
      <w:pPr>
        <w:pStyle w:val="FirstParagraph"/>
      </w:pPr>
      <w:r>
        <w:rPr>
          <w:b/>
          <w:bCs/>
        </w:rPr>
        <w:t xml:space="preserve">GreenQuery Architecture Flow:</w:t>
      </w:r>
    </w:p>
    <w:p>
      <w:pPr>
        <w:pStyle w:val="SourceCode"/>
      </w:pPr>
      <w:r>
        <w:rPr>
          <w:rStyle w:val="VerbatimChar"/>
        </w:rPr>
        <w:t xml:space="preserve">BigQuery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Log Sink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BQ Dataset</w:t>
      </w:r>
      <w:r>
        <w:br/>
      </w:r>
      <w:r>
        <w:rPr>
          <w:rStyle w:val="VerbatimChar"/>
        </w:rPr>
        <w:t xml:space="preserve">   ↓</w:t>
      </w:r>
      <w:r>
        <w:br/>
      </w:r>
      <w:r>
        <w:rPr>
          <w:rStyle w:val="VerbatimChar"/>
        </w:rPr>
        <w:t xml:space="preserve">BQ ML → Looker Studio → Users</w:t>
      </w:r>
    </w:p>
    <w:p>
      <w:r>
        <w:pict>
          <v:rect style="width:0;height:1.5pt" o:hralign="center" o:hrstd="t" o:hr="t"/>
        </w:pict>
      </w:r>
    </w:p>
    <w:bookmarkEnd w:id="22"/>
    <w:bookmarkStart w:id="23" w:name="step-by-step-high-level-solution"/>
    <w:p>
      <w:pPr>
        <w:pStyle w:val="Heading3"/>
      </w:pPr>
      <w:r>
        <w:rPr>
          <w:b/>
          <w:bCs/>
        </w:rPr>
        <w:t xml:space="preserve">Step-by-Step High-Level Solution</w:t>
      </w:r>
    </w:p>
    <w:p>
      <w:pPr>
        <w:pStyle w:val="Compact"/>
        <w:numPr>
          <w:ilvl w:val="0"/>
          <w:numId w:val="1001"/>
        </w:numPr>
      </w:pPr>
      <w:r>
        <w:t xml:space="preserve">Ingest BigQuery audit logs into centralized datasets.</w:t>
      </w:r>
    </w:p>
    <w:p>
      <w:pPr>
        <w:pStyle w:val="Compact"/>
        <w:numPr>
          <w:ilvl w:val="0"/>
          <w:numId w:val="1001"/>
        </w:numPr>
      </w:pPr>
      <w:r>
        <w:t xml:space="preserve">Apply SQL transformations to identify inefficient or costly queries.</w:t>
      </w:r>
    </w:p>
    <w:p>
      <w:pPr>
        <w:pStyle w:val="Compact"/>
        <w:numPr>
          <w:ilvl w:val="0"/>
          <w:numId w:val="1001"/>
        </w:numPr>
      </w:pPr>
      <w:r>
        <w:t xml:space="preserve">Estimate query cost and CO2 emissions using the Dry Run API.</w:t>
      </w:r>
    </w:p>
    <w:p>
      <w:pPr>
        <w:pStyle w:val="Compact"/>
        <w:numPr>
          <w:ilvl w:val="0"/>
          <w:numId w:val="1001"/>
        </w:numPr>
      </w:pPr>
      <w:r>
        <w:t xml:space="preserve">Use BigQuery ML for classification, forecasting, and anomaly detection.</w:t>
      </w:r>
    </w:p>
    <w:p>
      <w:pPr>
        <w:pStyle w:val="Compact"/>
        <w:numPr>
          <w:ilvl w:val="0"/>
          <w:numId w:val="1001"/>
        </w:numPr>
      </w:pPr>
      <w:r>
        <w:t xml:space="preserve">Serve dashboards and reports via Looker Studio for different personas (Executives, Analysts, Engineers).</w:t>
      </w:r>
    </w:p>
    <w:p>
      <w:pPr>
        <w:pStyle w:val="Compact"/>
        <w:numPr>
          <w:ilvl w:val="0"/>
          <w:numId w:val="1001"/>
        </w:numPr>
      </w:pPr>
      <w:r>
        <w:t xml:space="preserve">Offer optimization suggestions (e.g., partitioning, filtering, clustering, caching).</w:t>
      </w:r>
    </w:p>
    <w:p>
      <w:pPr>
        <w:pStyle w:val="Compact"/>
        <w:numPr>
          <w:ilvl w:val="0"/>
          <w:numId w:val="1001"/>
        </w:numPr>
      </w:pPr>
      <w:r>
        <w:t xml:space="preserve">Alert users about cost anomalies via Slack or Email.</w:t>
      </w:r>
    </w:p>
    <w:p>
      <w:pPr>
        <w:pStyle w:val="Compact"/>
        <w:numPr>
          <w:ilvl w:val="0"/>
          <w:numId w:val="1001"/>
        </w:numPr>
      </w:pPr>
      <w:r>
        <w:t xml:space="preserve">Provide scheduled exports and APIs for external integration.</w:t>
      </w:r>
    </w:p>
    <w:p>
      <w:r>
        <w:pict>
          <v:rect style="width:0;height:1.5pt" o:hralign="center" o:hrstd="t" o:hr="t"/>
        </w:pict>
      </w:r>
    </w:p>
    <w:bookmarkEnd w:id="23"/>
    <w:bookmarkStart w:id="24" w:name="key-features"/>
    <w:p>
      <w:pPr>
        <w:pStyle w:val="Heading3"/>
      </w:pPr>
      <w:r>
        <w:rPr>
          <w:b/>
          <w:bCs/>
        </w:rPr>
        <w:t xml:space="preserve">Key Features</w:t>
      </w:r>
    </w:p>
    <w:p>
      <w:pPr>
        <w:pStyle w:val="Compact"/>
        <w:numPr>
          <w:ilvl w:val="0"/>
          <w:numId w:val="1002"/>
        </w:numPr>
      </w:pPr>
      <w:r>
        <w:t xml:space="preserve">Real-time cost and carbon estimation using Dry Run</w:t>
      </w:r>
    </w:p>
    <w:p>
      <w:pPr>
        <w:pStyle w:val="Compact"/>
        <w:numPr>
          <w:ilvl w:val="0"/>
          <w:numId w:val="1002"/>
        </w:numPr>
      </w:pPr>
      <w:r>
        <w:t xml:space="preserve">Query monitoring and optimization recommendations</w:t>
      </w:r>
    </w:p>
    <w:p>
      <w:pPr>
        <w:pStyle w:val="Compact"/>
        <w:numPr>
          <w:ilvl w:val="0"/>
          <w:numId w:val="1002"/>
        </w:numPr>
      </w:pPr>
      <w:r>
        <w:t xml:space="preserve">Forecasting with BQML (usage trends, classifications)</w:t>
      </w:r>
    </w:p>
    <w:p>
      <w:pPr>
        <w:pStyle w:val="Compact"/>
        <w:numPr>
          <w:ilvl w:val="0"/>
          <w:numId w:val="1002"/>
        </w:numPr>
      </w:pPr>
      <w:r>
        <w:t xml:space="preserve">Persona-based Looker Studio dashboards</w:t>
      </w:r>
    </w:p>
    <w:p>
      <w:pPr>
        <w:pStyle w:val="Compact"/>
        <w:numPr>
          <w:ilvl w:val="0"/>
          <w:numId w:val="1002"/>
        </w:numPr>
      </w:pPr>
      <w:r>
        <w:t xml:space="preserve">Alerts for inefficiencies and cost anomalies</w:t>
      </w:r>
    </w:p>
    <w:p>
      <w:r>
        <w:pict>
          <v:rect style="width:0;height:1.5pt" o:hralign="center" o:hrstd="t" o:hr="t"/>
        </w:pict>
      </w:r>
    </w:p>
    <w:bookmarkEnd w:id="24"/>
    <w:bookmarkStart w:id="25" w:name="predict-query-cost-before-execution"/>
    <w:p>
      <w:pPr>
        <w:pStyle w:val="Heading3"/>
      </w:pPr>
      <w:r>
        <w:rPr>
          <w:b/>
          <w:bCs/>
        </w:rPr>
        <w:t xml:space="preserve">Predict Query Cost Before Execution</w:t>
      </w:r>
    </w:p>
    <w:p>
      <w:pPr>
        <w:pStyle w:val="FirstParagraph"/>
      </w:pPr>
      <w:r>
        <w:t xml:space="preserve">By using BigQuery’s</w:t>
      </w:r>
      <w:r>
        <w:t xml:space="preserve"> </w:t>
      </w:r>
      <w:r>
        <w:rPr>
          <w:b/>
          <w:bCs/>
        </w:rPr>
        <w:t xml:space="preserve">dry_run</w:t>
      </w:r>
      <w:r>
        <w:t xml:space="preserve"> </w:t>
      </w:r>
      <w:r>
        <w:t xml:space="preserve">mode, users can estimate the amount of data processed, potential cost, and carbon footprint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execution. This helps teams catch expensive patterns early and optimize queries before deployment.</w:t>
      </w:r>
    </w:p>
    <w:p>
      <w:r>
        <w:pict>
          <v:rect style="width:0;height:1.5pt" o:hralign="center" o:hrstd="t" o:hr="t"/>
        </w:pict>
      </w:r>
    </w:p>
    <w:bookmarkEnd w:id="25"/>
    <w:bookmarkStart w:id="26" w:name="Xb9d8b3485f8ffc42d75589033fdb4eb2d247a35"/>
    <w:p>
      <w:pPr>
        <w:pStyle w:val="Heading3"/>
      </w:pPr>
      <w:r>
        <w:rPr>
          <w:b/>
          <w:bCs/>
        </w:rPr>
        <w:t xml:space="preserve">How Other Applications Can Utilize GreenQuery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CI/CD Validation:</w:t>
      </w:r>
      <w:r>
        <w:t xml:space="preserve"> </w:t>
      </w:r>
      <w:r>
        <w:t xml:space="preserve">Integrate into data pipelines to classify and catch inefficiencies pre-deployment.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Query Advisory APIs:</w:t>
      </w:r>
      <w:r>
        <w:t xml:space="preserve"> </w:t>
      </w:r>
      <w:r>
        <w:t xml:space="preserve">Enable external systems to fetch optimization suggestions via APIs.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UI Embedding:</w:t>
      </w:r>
      <w:r>
        <w:t xml:space="preserve"> </w:t>
      </w:r>
      <w:r>
        <w:t xml:space="preserve">Embed the estimator into tools like AppSheet or Google Forms.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Alerts and Dashboards:</w:t>
      </w:r>
      <w:r>
        <w:t xml:space="preserve"> </w:t>
      </w:r>
      <w:r>
        <w:t xml:space="preserve">Teams can consume alerts and visual insights for monitoring and governance.</w:t>
      </w:r>
    </w:p>
    <w:p>
      <w:r>
        <w:pict>
          <v:rect style="width:0;height:1.5pt" o:hralign="center" o:hrstd="t" o:hr="t"/>
        </w:pict>
      </w:r>
    </w:p>
    <w:bookmarkEnd w:id="26"/>
    <w:bookmarkStart w:id="27" w:name="kpis-enabled"/>
    <w:p>
      <w:pPr>
        <w:pStyle w:val="Heading3"/>
      </w:pPr>
      <w:r>
        <w:rPr>
          <w:b/>
          <w:bCs/>
        </w:rPr>
        <w:t xml:space="preserve">KPIs Enabled</w:t>
      </w:r>
    </w:p>
    <w:p>
      <w:pPr>
        <w:pStyle w:val="Compact"/>
        <w:numPr>
          <w:ilvl w:val="0"/>
          <w:numId w:val="1004"/>
        </w:numPr>
      </w:pPr>
      <w:r>
        <w:t xml:space="preserve">Estimated cost and CO2 saved</w:t>
      </w:r>
    </w:p>
    <w:p>
      <w:pPr>
        <w:pStyle w:val="Compact"/>
        <w:numPr>
          <w:ilvl w:val="0"/>
          <w:numId w:val="1004"/>
        </w:numPr>
      </w:pPr>
      <w:r>
        <w:t xml:space="preserve">Average cost per query and per department</w:t>
      </w:r>
    </w:p>
    <w:p>
      <w:pPr>
        <w:pStyle w:val="Compact"/>
        <w:numPr>
          <w:ilvl w:val="0"/>
          <w:numId w:val="1004"/>
        </w:numPr>
      </w:pPr>
      <w:r>
        <w:t xml:space="preserve">Forecasted emissions vs. departmental budget</w:t>
      </w:r>
    </w:p>
    <w:p>
      <w:pPr>
        <w:pStyle w:val="Compact"/>
        <w:numPr>
          <w:ilvl w:val="0"/>
          <w:numId w:val="1004"/>
        </w:numPr>
      </w:pPr>
      <w:r>
        <w:t xml:space="preserve">Efficiency score and leaderboard rankings</w:t>
      </w:r>
    </w:p>
    <w:p>
      <w:r>
        <w:pict>
          <v:rect style="width:0;height:1.5pt" o:hralign="center" o:hrstd="t" o:hr="t"/>
        </w:pict>
      </w:r>
    </w:p>
    <w:bookmarkEnd w:id="27"/>
    <w:bookmarkStart w:id="34" w:name="enhanced-high-level-solution-design"/>
    <w:p>
      <w:pPr>
        <w:pStyle w:val="Heading3"/>
      </w:pPr>
      <w:r>
        <w:rPr>
          <w:b/>
          <w:bCs/>
        </w:rPr>
        <w:t xml:space="preserve">Enhanced High-Level Solution Design</w:t>
      </w:r>
    </w:p>
    <w:bookmarkStart w:id="28" w:name="creativity-originality-innovation"/>
    <w:p>
      <w:pPr>
        <w:pStyle w:val="Heading4"/>
      </w:pPr>
      <w:r>
        <w:rPr>
          <w:b/>
          <w:bCs/>
        </w:rPr>
        <w:t xml:space="preserve">Creativity, Originality &amp; Innovation</w:t>
      </w:r>
    </w:p>
    <w:p>
      <w:pPr>
        <w:pStyle w:val="FirstParagraph"/>
      </w:pPr>
      <w:r>
        <w:t xml:space="preserve">GreenQuery uniquely blends cost optimization with sustainability by translating query behavior into measurable carbon footprint metrics. It innovates by combining</w:t>
      </w:r>
      <w:r>
        <w:t xml:space="preserve"> </w:t>
      </w:r>
      <w:r>
        <w:rPr>
          <w:b/>
          <w:bCs/>
        </w:rPr>
        <w:t xml:space="preserve">dry run estimations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ML-based insights</w:t>
      </w:r>
      <w:r>
        <w:t xml:space="preserve"> </w:t>
      </w:r>
      <w:r>
        <w:t xml:space="preserve">to foster environmental responsibility in data operations.</w:t>
      </w:r>
    </w:p>
    <w:p>
      <w:pPr>
        <w:pStyle w:val="BodyText"/>
      </w:pPr>
      <w:r>
        <w:t xml:space="preserve">Gamification (efficiency leaderboards), modular dashboards, and real-time cost feedback make it engaging and impactful.</w:t>
      </w:r>
    </w:p>
    <w:bookmarkEnd w:id="28"/>
    <w:bookmarkStart w:id="29" w:name="Xab382920f302e1ef5876e36806ed72a70ef7988"/>
    <w:p>
      <w:pPr>
        <w:pStyle w:val="Heading4"/>
      </w:pPr>
      <w:r>
        <w:rPr>
          <w:b/>
          <w:bCs/>
        </w:rPr>
        <w:t xml:space="preserve">Design Quality - Seamless Tech Integration</w:t>
      </w:r>
    </w:p>
    <w:p>
      <w:pPr>
        <w:pStyle w:val="Compact"/>
        <w:numPr>
          <w:ilvl w:val="0"/>
          <w:numId w:val="1005"/>
        </w:numPr>
      </w:pPr>
      <w:r>
        <w:t xml:space="preserve">Fully serverless and GCP-native (BigQuery, Cloud Functions, Looker Studio)</w:t>
      </w:r>
    </w:p>
    <w:p>
      <w:pPr>
        <w:pStyle w:val="Compact"/>
        <w:numPr>
          <w:ilvl w:val="0"/>
          <w:numId w:val="1005"/>
        </w:numPr>
      </w:pPr>
      <w:r>
        <w:t xml:space="preserve">Modular SQL logic</w:t>
      </w:r>
    </w:p>
    <w:p>
      <w:pPr>
        <w:pStyle w:val="Compact"/>
        <w:numPr>
          <w:ilvl w:val="0"/>
          <w:numId w:val="1005"/>
        </w:numPr>
      </w:pPr>
      <w:r>
        <w:t xml:space="preserve">ML models for segmentation, anomaly detection, and efficiency scoring</w:t>
      </w:r>
    </w:p>
    <w:p>
      <w:pPr>
        <w:pStyle w:val="Compact"/>
        <w:numPr>
          <w:ilvl w:val="0"/>
          <w:numId w:val="1005"/>
        </w:numPr>
      </w:pPr>
      <w:r>
        <w:t xml:space="preserve">Clean integration interfaces across components</w:t>
      </w:r>
    </w:p>
    <w:bookmarkEnd w:id="29"/>
    <w:bookmarkStart w:id="30" w:name="user-experience---ease-of-use-engagement"/>
    <w:p>
      <w:pPr>
        <w:pStyle w:val="Heading4"/>
      </w:pPr>
      <w:r>
        <w:rPr>
          <w:b/>
          <w:bCs/>
        </w:rPr>
        <w:t xml:space="preserve">User Experience - Ease of Use &amp; Engagement</w:t>
      </w:r>
    </w:p>
    <w:p>
      <w:pPr>
        <w:pStyle w:val="Compact"/>
        <w:numPr>
          <w:ilvl w:val="0"/>
          <w:numId w:val="1006"/>
        </w:numPr>
      </w:pPr>
      <w:r>
        <w:t xml:space="preserve">Persona-specific dashboards</w:t>
      </w:r>
    </w:p>
    <w:p>
      <w:pPr>
        <w:pStyle w:val="Compact"/>
        <w:numPr>
          <w:ilvl w:val="0"/>
          <w:numId w:val="1006"/>
        </w:numPr>
      </w:pPr>
      <w:r>
        <w:t xml:space="preserve">Dry Run estimator for cost/CO2 preview</w:t>
      </w:r>
    </w:p>
    <w:p>
      <w:pPr>
        <w:pStyle w:val="Compact"/>
        <w:numPr>
          <w:ilvl w:val="0"/>
          <w:numId w:val="1006"/>
        </w:numPr>
      </w:pPr>
      <w:r>
        <w:t xml:space="preserve">Optimization tips linked to actual queries</w:t>
      </w:r>
    </w:p>
    <w:p>
      <w:pPr>
        <w:pStyle w:val="Compact"/>
        <w:numPr>
          <w:ilvl w:val="0"/>
          <w:numId w:val="1006"/>
        </w:numPr>
      </w:pPr>
      <w:r>
        <w:t xml:space="preserve">Drill-down filters for interactive, self-service analytics</w:t>
      </w:r>
    </w:p>
    <w:bookmarkEnd w:id="30"/>
    <w:bookmarkStart w:id="31" w:name="scalability-maintainability"/>
    <w:p>
      <w:pPr>
        <w:pStyle w:val="Heading4"/>
      </w:pPr>
      <w:r>
        <w:rPr>
          <w:b/>
          <w:bCs/>
        </w:rPr>
        <w:t xml:space="preserve">Scalability &amp; Maintainability</w:t>
      </w:r>
    </w:p>
    <w:p>
      <w:pPr>
        <w:pStyle w:val="Compact"/>
        <w:numPr>
          <w:ilvl w:val="0"/>
          <w:numId w:val="1007"/>
        </w:numPr>
      </w:pPr>
      <w:r>
        <w:t xml:space="preserve">BigQuery offers native scalability</w:t>
      </w:r>
    </w:p>
    <w:p>
      <w:pPr>
        <w:pStyle w:val="Compact"/>
        <w:numPr>
          <w:ilvl w:val="0"/>
          <w:numId w:val="1007"/>
        </w:numPr>
      </w:pPr>
      <w:r>
        <w:t xml:space="preserve">Cloud Functions automate dry runs, alerts, and advisory</w:t>
      </w:r>
    </w:p>
    <w:p>
      <w:pPr>
        <w:pStyle w:val="Compact"/>
        <w:numPr>
          <w:ilvl w:val="0"/>
          <w:numId w:val="1007"/>
        </w:numPr>
      </w:pPr>
      <w:r>
        <w:t xml:space="preserve">Fully managed, no server maintenance</w:t>
      </w:r>
    </w:p>
    <w:p>
      <w:pPr>
        <w:pStyle w:val="Compact"/>
        <w:numPr>
          <w:ilvl w:val="0"/>
          <w:numId w:val="1007"/>
        </w:numPr>
      </w:pPr>
      <w:r>
        <w:t xml:space="preserve">Easy to extend with new models or features</w:t>
      </w:r>
    </w:p>
    <w:bookmarkEnd w:id="31"/>
    <w:bookmarkStart w:id="32" w:name="functionality-extensibility"/>
    <w:p>
      <w:pPr>
        <w:pStyle w:val="Heading4"/>
      </w:pPr>
      <w:r>
        <w:rPr>
          <w:b/>
          <w:bCs/>
        </w:rPr>
        <w:t xml:space="preserve">Functionality &amp; Extensibility</w:t>
      </w:r>
    </w:p>
    <w:p>
      <w:pPr>
        <w:pStyle w:val="Compact"/>
        <w:numPr>
          <w:ilvl w:val="0"/>
          <w:numId w:val="1008"/>
        </w:numPr>
      </w:pPr>
      <w:r>
        <w:t xml:space="preserve">Real-time and historical query insights</w:t>
      </w:r>
    </w:p>
    <w:p>
      <w:pPr>
        <w:pStyle w:val="Compact"/>
        <w:numPr>
          <w:ilvl w:val="0"/>
          <w:numId w:val="1008"/>
        </w:numPr>
      </w:pPr>
      <w:r>
        <w:t xml:space="preserve">Dry run estimators (live and logged)</w:t>
      </w:r>
    </w:p>
    <w:p>
      <w:pPr>
        <w:pStyle w:val="Compact"/>
        <w:numPr>
          <w:ilvl w:val="0"/>
          <w:numId w:val="1008"/>
        </w:numPr>
      </w:pPr>
      <w:r>
        <w:t xml:space="preserve">Forecasting with ARIMA (BQML)</w:t>
      </w:r>
    </w:p>
    <w:p>
      <w:pPr>
        <w:pStyle w:val="Compact"/>
        <w:numPr>
          <w:ilvl w:val="0"/>
          <w:numId w:val="1008"/>
        </w:numPr>
      </w:pPr>
      <w:r>
        <w:t xml:space="preserve">Efficiency scores and gamification</w:t>
      </w:r>
    </w:p>
    <w:p>
      <w:pPr>
        <w:pStyle w:val="FirstParagraph"/>
      </w:pPr>
      <w:r>
        <w:rPr>
          <w:b/>
          <w:bCs/>
        </w:rPr>
        <w:t xml:space="preserve">Future Extensibility:</w:t>
      </w:r>
    </w:p>
    <w:p>
      <w:pPr>
        <w:pStyle w:val="Compact"/>
        <w:numPr>
          <w:ilvl w:val="0"/>
          <w:numId w:val="1009"/>
        </w:numPr>
      </w:pPr>
      <w:r>
        <w:t xml:space="preserve">Gemini-based query rewriting</w:t>
      </w:r>
    </w:p>
    <w:p>
      <w:pPr>
        <w:pStyle w:val="Compact"/>
        <w:numPr>
          <w:ilvl w:val="0"/>
          <w:numId w:val="1009"/>
        </w:numPr>
      </w:pPr>
      <w:r>
        <w:t xml:space="preserve">CI/CD guardrails for query cost budgets</w:t>
      </w:r>
    </w:p>
    <w:p>
      <w:pPr>
        <w:pStyle w:val="Compact"/>
        <w:numPr>
          <w:ilvl w:val="0"/>
          <w:numId w:val="1009"/>
        </w:numPr>
      </w:pPr>
      <w:r>
        <w:t xml:space="preserve">Integration with ServiceNow, Microsoft Teams, or Slack</w:t>
      </w:r>
    </w:p>
    <w:p>
      <w:pPr>
        <w:pStyle w:val="Compact"/>
        <w:numPr>
          <w:ilvl w:val="0"/>
          <w:numId w:val="1009"/>
        </w:numPr>
      </w:pPr>
      <w:r>
        <w:t xml:space="preserve">Geo-specific emissions factors</w:t>
      </w:r>
    </w:p>
    <w:p>
      <w:pPr>
        <w:pStyle w:val="Compact"/>
        <w:numPr>
          <w:ilvl w:val="0"/>
          <w:numId w:val="1009"/>
        </w:numPr>
      </w:pPr>
      <w:r>
        <w:t xml:space="preserve">Real-time cost blocking for sensitive workflows</w:t>
      </w:r>
    </w:p>
    <w:bookmarkEnd w:id="32"/>
    <w:bookmarkStart w:id="33" w:name="multi-user-customer-usability"/>
    <w:p>
      <w:pPr>
        <w:pStyle w:val="Heading4"/>
      </w:pPr>
      <w:r>
        <w:rPr>
          <w:b/>
          <w:bCs/>
        </w:rPr>
        <w:t xml:space="preserve">Multi-User &amp; Customer Usability</w:t>
      </w:r>
    </w:p>
    <w:p>
      <w:pPr>
        <w:pStyle w:val="Compact"/>
        <w:numPr>
          <w:ilvl w:val="0"/>
          <w:numId w:val="1010"/>
        </w:numPr>
      </w:pPr>
      <w:r>
        <w:t xml:space="preserve">Supports GCP IAM integration for auditability</w:t>
      </w:r>
    </w:p>
    <w:p>
      <w:pPr>
        <w:pStyle w:val="Compact"/>
        <w:numPr>
          <w:ilvl w:val="0"/>
          <w:numId w:val="1010"/>
        </w:numPr>
      </w:pPr>
      <w:r>
        <w:t xml:space="preserve">Dashboards and alerts scoped by user and department</w:t>
      </w:r>
    </w:p>
    <w:p>
      <w:pPr>
        <w:pStyle w:val="Compact"/>
        <w:numPr>
          <w:ilvl w:val="0"/>
          <w:numId w:val="1010"/>
        </w:numPr>
      </w:pPr>
      <w:r>
        <w:t xml:space="preserve">Turnkey deployment across projects and organizations</w:t>
      </w:r>
    </w:p>
    <w:p>
      <w:pPr>
        <w:pStyle w:val="Compact"/>
        <w:numPr>
          <w:ilvl w:val="0"/>
          <w:numId w:val="1010"/>
        </w:numPr>
      </w:pPr>
      <w:r>
        <w:t xml:space="preserve">No coding needed for end-users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conclusion"/>
    <w:p>
      <w:pPr>
        <w:pStyle w:val="Heading3"/>
      </w:pPr>
      <w:r>
        <w:rPr>
          <w:b/>
          <w:bCs/>
        </w:rPr>
        <w:t xml:space="preserve">Conclusion</w:t>
      </w:r>
    </w:p>
    <w:p>
      <w:pPr>
        <w:pStyle w:val="FirstParagraph"/>
      </w:pPr>
      <w:r>
        <w:rPr>
          <w:b/>
          <w:bCs/>
        </w:rPr>
        <w:t xml:space="preserve">GreenQuery</w:t>
      </w:r>
      <w:r>
        <w:t xml:space="preserve"> </w:t>
      </w:r>
      <w:r>
        <w:t xml:space="preserve">delivers an actionable, scalable, and sustainable solution for BigQuery optimization. Built entirely on Google Cloud, it supports team-level accountability, enables efficient query usage, and aligns with Lloyds’ sustainability and cost-efficiency goals.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2025-07-22T06:30:33Z</dcterms:created>
  <dcterms:modified xsi:type="dcterms:W3CDTF">2025-07-22T06:30:33Z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