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</w:t>
      </w:r>
    </w:p>
    <w:p>
      <w:r>
        <w:t xml:space="preserve">Sales Director</w:t>
      </w:r>
    </w:p>
    <w:p>
      <w:r>
        <w:t xml:space="preserve">Experience</w:t>
      </w:r>
    </w:p>
    <w:p>
      <w:r>
        <w:t xml:space="preserve">TechCorp, Sales Director | Jan 2020 - Present</w:t>
      </w:r>
    </w:p>
    <w:p>
      <w:r>
        <w:t xml:space="preserve">- Led commercial analytics and campaign measurement, driving 20% revenue growth.</w:t>
      </w:r>
    </w:p>
    <w:p>
      <w:r>
        <w:t xml:space="preserve">- Presented business cases to strategy and client stakeholders to win key accounts.</w:t>
      </w:r>
    </w:p>
    <w:p>
      <w:r>
        <w:t xml:space="preserve">- Owned strategic planning and opportunity sizing for regional sales.</w:t>
      </w:r>
    </w:p>
    <w:p>
      <w:r>
        <w:t xml:space="preserve">- Negotiated high-value enterprise contracts with C-level executives.</w:t>
      </w:r>
    </w:p>
    <w:p>
      <w:r>
        <w:t xml:space="preserve">- Managed a team of 15 sales representatives and account managers.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2026-08-20T00:35:18.906Z</dcterms:created>
  <dcterms:modified xsi:type="dcterms:W3CDTF">2026-08-20T00:35:18.907Z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