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Verdana" w:hAnsi="Verdana"/>
          <w:b/>
          <w:color w:val="FF0000"/>
          <w:sz w:val="48"/>
        </w:rPr>
        <w:t>PLAN MAESTRO DE INFRAESTRUCTURA EDUCATIVA</w:t>
      </w:r>
    </w:p>
    <w:p>
      <w:pPr>
        <w:jc w:val="center"/>
      </w:pPr>
      <w:r>
        <w:rPr>
          <w:rFonts w:ascii="Verdana" w:hAnsi="Verdana"/>
          <w:b/>
          <w:color w:val="FF0000"/>
          <w:sz w:val="48"/>
        </w:rPr>
        <w:t>PMIE 2026 — 2039</w:t>
      </w:r>
    </w:p>
    <w:p/>
    <w:p>
      <w:pPr>
        <w:jc w:val="center"/>
      </w:pPr>
      <w:r>
        <w:rPr>
          <w:rFonts w:ascii="Verdana" w:hAnsi="Verdana"/>
          <w:b/>
          <w:color w:val="747474"/>
          <w:sz w:val="36"/>
        </w:rPr>
        <w:t>Distrito de Santiago de Cali</w:t>
      </w:r>
    </w:p>
    <w:p>
      <w:pPr>
        <w:jc w:val="center"/>
      </w:pPr>
      <w:r>
        <w:rPr>
          <w:rFonts w:ascii="Verdana" w:hAnsi="Verdana"/>
          <w:b/>
          <w:color w:val="747474"/>
          <w:sz w:val="28"/>
        </w:rPr>
        <w:t>Horizonte 2026–2039</w:t>
      </w:r>
    </w:p>
    <w:p/>
    <w:p/>
    <w:p/>
    <w:p/>
    <w:p/>
    <w:p/>
    <w:p/>
    <w:p/>
    <w:p>
      <w:pPr>
        <w:jc w:val="center"/>
      </w:pPr>
      <w:r>
        <w:rPr>
          <w:rFonts w:ascii="Verdana" w:hAnsi="Verdana"/>
          <w:b/>
          <w:color w:val="747474"/>
          <w:sz w:val="28"/>
        </w:rPr>
        <w:t>ALEJANDRO EDER GARCÉS</w:t>
      </w:r>
    </w:p>
    <w:p>
      <w:pPr>
        <w:jc w:val="center"/>
      </w:pPr>
      <w:r>
        <w:rPr>
          <w:rFonts w:ascii="Verdana" w:hAnsi="Verdana"/>
          <w:b w:val="0"/>
          <w:color w:val="747474"/>
          <w:sz w:val="22"/>
        </w:rPr>
        <w:t>Alcalde de Santiago de Cali · 2024-2027</w:t>
      </w:r>
    </w:p>
    <w:p/>
    <w:p>
      <w:pPr>
        <w:jc w:val="center"/>
      </w:pPr>
      <w:r>
        <w:rPr>
          <w:rFonts w:ascii="Verdana" w:hAnsi="Verdana"/>
          <w:b/>
          <w:color w:val="747474"/>
          <w:sz w:val="28"/>
        </w:rPr>
        <w:t>SARA MERCEDES RODAS SOTO</w:t>
      </w:r>
    </w:p>
    <w:p>
      <w:pPr>
        <w:jc w:val="center"/>
      </w:pPr>
      <w:r>
        <w:rPr>
          <w:rFonts w:ascii="Verdana" w:hAnsi="Verdana"/>
          <w:b w:val="0"/>
          <w:color w:val="747474"/>
          <w:sz w:val="22"/>
        </w:rPr>
        <w:t>Secretaria de Educación Distrital</w:t>
      </w:r>
    </w:p>
    <w:p/>
    <w:p>
      <w:pPr>
        <w:jc w:val="center"/>
      </w:pPr>
      <w:r>
        <w:rPr>
          <w:rFonts w:ascii="Verdana" w:hAnsi="Verdana"/>
          <w:b/>
          <w:color w:val="747474"/>
          <w:sz w:val="28"/>
        </w:rPr>
        <w:t>NIKI BLANCO ARENAS</w:t>
      </w:r>
    </w:p>
    <w:p>
      <w:pPr>
        <w:jc w:val="center"/>
      </w:pPr>
      <w:r>
        <w:rPr>
          <w:rFonts w:ascii="Verdana" w:hAnsi="Verdana"/>
          <w:b w:val="0"/>
          <w:color w:val="747474"/>
          <w:sz w:val="22"/>
        </w:rPr>
        <w:t>Subsecretario de Planeación Sectorial</w:t>
      </w:r>
    </w:p>
    <w:p/>
    <w:p/>
    <w:p/>
    <w:p/>
    <w:p/>
    <w:p/>
    <w:p>
      <w:pPr>
        <w:jc w:val="center"/>
      </w:pPr>
      <w:r>
        <w:rPr>
          <w:rFonts w:ascii="Verdana" w:hAnsi="Verdana"/>
          <w:b/>
          <w:color w:val="747474"/>
          <w:sz w:val="24"/>
        </w:rPr>
        <w:t>Equipo Técnico del Plan Maestro:</w:t>
      </w:r>
    </w:p>
    <w:p>
      <w:pPr>
        <w:jc w:val="center"/>
      </w:pPr>
      <w:r>
        <w:rPr>
          <w:rFonts w:ascii="Verdana" w:hAnsi="Verdana"/>
          <w:b w:val="0"/>
          <w:color w:val="747474"/>
          <w:sz w:val="20"/>
        </w:rPr>
        <w:t>Subsecretaría de Planeación Sectorial — Dirección de Planeación y Gestión</w:t>
      </w:r>
    </w:p>
    <w:p>
      <w:pPr>
        <w:jc w:val="center"/>
      </w:pPr>
      <w:r>
        <w:rPr>
          <w:rFonts w:ascii="Verdana" w:hAnsi="Verdana"/>
          <w:b w:val="0"/>
          <w:color w:val="747474"/>
          <w:sz w:val="20"/>
        </w:rPr>
        <w:t>Grupo Técnico de Análisis de Infraestructura — Unidad SIG-PMIE</w:t>
      </w:r>
    </w:p>
    <w:p/>
    <w:p/>
    <w:p/>
    <w:p>
      <w:pPr>
        <w:jc w:val="center"/>
      </w:pPr>
      <w:r>
        <w:rPr>
          <w:rFonts w:ascii="Verdana" w:hAnsi="Verdana"/>
          <w:b/>
          <w:color w:val="747474"/>
          <w:sz w:val="22"/>
        </w:rPr>
        <w:t>Santiago de Cali, junio de 2026</w:t>
      </w:r>
    </w:p>
    <w:p>
      <w:r>
        <w:br w:type="page"/>
      </w:r>
    </w:p>
    <w:p>
      <w:pPr>
        <w:jc w:val="center"/>
      </w:pPr>
      <w:r>
        <w:rPr>
          <w:rFonts w:ascii="Times New Roman" w:hAnsi="Times New Roman"/>
          <w:b w:val="0"/>
          <w:i w:val="0"/>
          <w:color w:val="000000"/>
          <w:sz w:val="20"/>
        </w:rPr>
        <w:t>© 2026 Alcaldía de Santiago de Cali · Todos los derechos reservados</w:t>
      </w:r>
    </w:p>
    <w:p>
      <w:pPr>
        <w:jc w:val="center"/>
      </w:pPr>
      <w:r>
        <w:rPr>
          <w:rFonts w:ascii="Times New Roman" w:hAnsi="Times New Roman"/>
          <w:b w:val="0"/>
          <w:i w:val="0"/>
          <w:color w:val="000000"/>
          <w:sz w:val="20"/>
        </w:rPr>
        <w:t>NIT: 890.399.011-3 · Avenida 2 Norte # 10-70, Centro Administrativo Municipal (CAM)</w:t>
      </w:r>
    </w:p>
    <w:p>
      <w:pPr>
        <w:jc w:val="center"/>
      </w:pPr>
      <w:r>
        <w:rPr>
          <w:rFonts w:ascii="Times New Roman" w:hAnsi="Times New Roman"/>
          <w:b w:val="0"/>
          <w:i w:val="0"/>
          <w:color w:val="000000"/>
          <w:sz w:val="20"/>
        </w:rPr>
        <w:t>Santiago de Cali, Valle del Cauca, Colombia · Código postal: 760045</w:t>
      </w:r>
    </w:p>
    <w:p/>
    <w:p>
      <w:pPr>
        <w:jc w:val="center"/>
      </w:pPr>
      <w:r>
        <w:rPr>
          <w:rFonts w:ascii="Times New Roman" w:hAnsi="Times New Roman"/>
          <w:b w:val="0"/>
          <w:i/>
          <w:color w:val="000000"/>
          <w:sz w:val="20"/>
        </w:rPr>
        <w:t>Primera edición: junio de 2026</w:t>
      </w:r>
    </w:p>
    <w:p>
      <w:pPr>
        <w:jc w:val="center"/>
      </w:pPr>
      <w:r>
        <w:rPr>
          <w:rFonts w:ascii="Times New Roman" w:hAnsi="Times New Roman"/>
          <w:b w:val="0"/>
          <w:i/>
          <w:color w:val="000000"/>
          <w:sz w:val="20"/>
        </w:rPr>
        <w:t>ISBN (en trámite)</w:t>
      </w:r>
    </w:p>
    <w:p/>
    <w:p>
      <w:pPr>
        <w:jc w:val="both"/>
      </w:pPr>
      <w:r>
        <w:rPr>
          <w:rFonts w:ascii="Times New Roman" w:hAnsi="Times New Roman"/>
          <w:b w:val="0"/>
          <w:i/>
          <w:color w:val="000000"/>
          <w:sz w:val="20"/>
        </w:rPr>
        <w:t>Cita recomendada: Secretaría de Educación Distrital de Santiago de Cali (2026). Plan Maestro de Infraestructura Educativa 2026–2039. Alcaldía de Santiago de Cali, Subsecretaría de Planeación Sectorial. Disponible en: www.cali.gov.co/educacion/pmie</w:t>
      </w:r>
    </w:p>
    <w:p/>
    <w:p>
      <w:pPr>
        <w:jc w:val="both"/>
      </w:pPr>
      <w:r>
        <w:rPr>
          <w:rFonts w:ascii="Times New Roman" w:hAnsi="Times New Roman"/>
          <w:b w:val="0"/>
          <w:i/>
          <w:color w:val="000000"/>
          <w:sz w:val="20"/>
        </w:rPr>
        <w:t>Este documento ha sido elaborado conforme a la NTC 6705:2023 (Norma Técnica Colombiana para la Elaboración de Planes Maestros de Infraestructura Educativa), el Reglamento Colombiano de Construcción Sismo Resistente NSR-10 (Decreto 926 de 2010) y la NTC 4595 (Planeamiento y Diseño de Instalaciones y Ambientes Escolares).</w:t>
      </w:r>
    </w:p>
    <w:p>
      <w:r>
        <w:br w:type="page"/>
      </w:r>
    </w:p>
    <w:p>
      <w:pPr>
        <w:pStyle w:val="Heading1"/>
      </w:pPr>
      <w:r>
        <w:t>Resumen Ejecutivo</w:t>
      </w:r>
    </w:p>
    <w:p>
      <w:pPr>
        <w:jc w:val="both"/>
      </w:pPr>
      <w:r>
        <w:rPr>
          <w:rFonts w:ascii="Times New Roman" w:hAnsi="Times New Roman"/>
          <w:b w:val="0"/>
          <w:i w:val="0"/>
          <w:color w:val="000000"/>
          <w:sz w:val="22"/>
        </w:rPr>
        <w:t>El Plan Maestro de Infraestructura Educativa (PMIE) 2026–2039 es el instrumento técnico y estratégico que orientará la planeación, priorización y ejecución de las inversiones en infraestructura escolar oficial del Distrito de Santiago de Cali durante los próximos catorce años. Su formulación responde a los lineamientos de la Norma Técnica Colombiana NTC 6705:2023, articula con la política nacional de infraestructura educativa expedida por el Ministerio de Educación Nacional en 2022, y se alinea con el Plan Sectorial de Educación de Santiago de Cali 2024-2027 (Decreto Distrital 4112.010.20.0403 de 2020) y el Plan de Desarrollo Distrital «Cali, Ciudad que Educa y Aprende» (2024–2027).</w:t>
      </w:r>
    </w:p>
    <w:p>
      <w:pPr>
        <w:jc w:val="both"/>
      </w:pPr>
      <w:r>
        <w:rPr>
          <w:rFonts w:ascii="Times New Roman" w:hAnsi="Times New Roman"/>
          <w:b w:val="0"/>
          <w:i w:val="0"/>
          <w:color w:val="000000"/>
          <w:sz w:val="22"/>
        </w:rPr>
        <w:t>El diagnóstico técnico sobre 338 sedes educativas oficiales —de las cuales 316 fueron objeto de levantamiento integral en campo durante el segundo semestre de 2025— reveló que el 75,3% de las sedes presentan niveles altos de riesgo sísmico bajo los criterios del Reglamento NSR-10, el promedio del índice sintético NTC 4595 es de 70,7% sobre escala normalizada, y existe un déficit acumulado de 500.401 m² de área construida cuando se compara la matrícula vigente con el estándar de 5,36 m² por estudiante establecido en la NTC 6705:2023.</w:t>
      </w:r>
    </w:p>
    <w:p>
      <w:pPr>
        <w:jc w:val="both"/>
      </w:pPr>
      <w:r>
        <w:rPr>
          <w:rFonts w:ascii="Times New Roman" w:hAnsi="Times New Roman"/>
          <w:b w:val="0"/>
          <w:i w:val="0"/>
          <w:color w:val="000000"/>
          <w:sz w:val="22"/>
        </w:rPr>
        <w:t>La aplicación del árbol de decisión técnico-económico —con once nodos jerarquizados (N1 a N5) y tres parámetros configurables— sobre las 316 sedes evaluadas produjo una distribución en ocho programas oficiales de intervención (P1 a P8) con valor total de $4.274.180 millones de pesos colombianos (equivalentes a 4.27 billones COP). Este valor incluye la cobertura para los 19.785 estudiantes que actualmente se atienden en sedes no oficiales del Distrito y para los cuales se proyecta nueva infraestructura oficial dentro del Programa P1.</w:t>
      </w:r>
    </w:p>
    <w:p>
      <w:pPr>
        <w:jc w:val="both"/>
      </w:pPr>
      <w:r>
        <w:rPr>
          <w:rFonts w:ascii="Times New Roman" w:hAnsi="Times New Roman"/>
          <w:b w:val="0"/>
          <w:i w:val="0"/>
          <w:color w:val="000000"/>
          <w:sz w:val="22"/>
        </w:rPr>
        <w:t>Como entregable diferencial del Plan se desarrolló la Herramienta Consolidada (PMIE2026_Herramienta_Consolidada.html), aplicativo web interactivo autocontenido que integra los cuatro módulos técnicos del Plan: H1 (Proyección de Matrícula MCDE-T), H2 (Indicador NTC 4595), H3 (Brecha Funcional) y H4 (Árbol de Decisión). La herramienta permite la actualización trianual del Plan mediante la carga de archivos SIMAT, brecha estructural y costos actualizados, garantizando la sostenibilidad técnica del instrumento más allá del periodo administrativo de su formulación.</w:t>
      </w:r>
    </w:p>
    <w:p>
      <w:pPr>
        <w:pStyle w:val="Heading2"/>
      </w:pPr>
      <w:r>
        <w:t>Hallazgos clave del diagnóstico integral</w:t>
      </w:r>
    </w:p>
    <w:p>
      <w:pPr>
        <w:pStyle w:val="ListBullet"/>
        <w:ind w:left="283"/>
      </w:pPr>
      <w:r>
        <w:rPr>
          <w:rFonts w:ascii="Times New Roman" w:hAnsi="Times New Roman"/>
          <w:sz w:val="22"/>
        </w:rPr>
        <w:t>De las 316 sedes evaluadas, el 75,3% supera el 30% del Valor de Reposición en daño esperado bajo el escenario sísmico Aa=0,25g (NSR-10).</w:t>
      </w:r>
    </w:p>
    <w:p>
      <w:pPr>
        <w:pStyle w:val="ListBullet"/>
        <w:ind w:left="283"/>
      </w:pPr>
      <w:r>
        <w:rPr>
          <w:rFonts w:ascii="Times New Roman" w:hAnsi="Times New Roman"/>
          <w:sz w:val="22"/>
        </w:rPr>
        <w:t>El 50,3% del parque escolar presenta un índice NTC 4595 inferior al 70%, lo que indica deficiencias funcionales que comprometen las condiciones de habitabilidad y operación pedagógica.</w:t>
      </w:r>
    </w:p>
    <w:p>
      <w:pPr>
        <w:pStyle w:val="ListBullet"/>
        <w:ind w:left="283"/>
      </w:pPr>
      <w:r>
        <w:rPr>
          <w:rFonts w:ascii="Times New Roman" w:hAnsi="Times New Roman"/>
          <w:sz w:val="22"/>
        </w:rPr>
        <w:t>El 27% de las sedes opera con sobreocupación superior al 20% respecto a la capacidad instalada según el estándar NTC 6705:2023 (5,36 m² por estudiante).</w:t>
      </w:r>
    </w:p>
    <w:p>
      <w:pPr>
        <w:pStyle w:val="ListBullet"/>
        <w:ind w:left="283"/>
      </w:pPr>
      <w:r>
        <w:rPr>
          <w:rFonts w:ascii="Times New Roman" w:hAnsi="Times New Roman"/>
          <w:sz w:val="22"/>
        </w:rPr>
        <w:t>La proyección demográfica MCDE-T indica una reducción de 10,4% en la matrícula oficial entre 2024 y 2039 (de 141.414 a 126.720 estudiantes); el impacto sobre la brecha funcional es marginal (−0,2%) porque la mayoría del déficit corresponde a sedes ya consolidadas.</w:t>
      </w:r>
    </w:p>
    <w:p>
      <w:pPr>
        <w:pStyle w:val="ListBullet"/>
        <w:ind w:left="283"/>
      </w:pPr>
      <w:r>
        <w:rPr>
          <w:rFonts w:ascii="Times New Roman" w:hAnsi="Times New Roman"/>
          <w:sz w:val="22"/>
        </w:rPr>
        <w:t>19.785 estudiantes (que pueden proyectarse a más de 42.000 considerando matrícula 2026 más reciente) son atendidos en sedes no oficiales del Distrito por insuficiencia de la oferta pública: esta población requiere infraestructura nueva oficial conforme a los estándares NSR-10 y NTC 4595.</w:t>
      </w:r>
    </w:p>
    <w:p>
      <w:pPr>
        <w:pStyle w:val="Heading2"/>
      </w:pPr>
      <w:r>
        <w:t>Programas de intervención — resultados al 13 de mayo de 2026</w:t>
      </w:r>
    </w:p>
    <w:p>
      <w:pPr>
        <w:jc w:val="both"/>
      </w:pPr>
      <w:r>
        <w:rPr>
          <w:rFonts w:ascii="Times New Roman" w:hAnsi="Times New Roman"/>
          <w:b w:val="0"/>
          <w:i w:val="0"/>
          <w:color w:val="000000"/>
          <w:sz w:val="22"/>
        </w:rPr>
        <w:t>Los resultados consolidados de la corrida con parámetros por defecto (Q-Corte=Q2, Umbral BC/VR=70%, MinQ12=2) sobre las 316 sedes evaluadas se presentan en la Tabla 1.</w:t>
      </w:r>
    </w:p>
    <w:p>
      <w:pPr>
        <w:jc w:val="both"/>
      </w:pPr>
      <w:r>
        <w:rPr>
          <w:rFonts w:ascii="Times New Roman" w:hAnsi="Times New Roman"/>
          <w:b w:val="0"/>
          <w:i/>
          <w:color w:val="0F4761"/>
          <w:sz w:val="20"/>
        </w:rPr>
        <w:t>Tabla 1. Distribución de sedes y matrícula por programa oficial de intervención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shd w:val="clear" w:color="auto" w:fill="0F4761"/>
            <w:vAlign w:val="center"/>
          </w:tcPr>
          <w:p>
            <w:pPr>
              <w:jc w:val="center"/>
            </w:pPr>
            <w:r/>
            <w:r>
              <w:rPr>
                <w:rFonts w:ascii="Times New Roman" w:hAnsi="Times New Roman"/>
                <w:b/>
                <w:color w:val="FFFFFF"/>
                <w:sz w:val="20"/>
              </w:rPr>
              <w:t>Programa</w:t>
            </w:r>
          </w:p>
        </w:tc>
        <w:tc>
          <w:tcPr>
            <w:tcW w:type="dxa" w:w="1824"/>
            <w:shd w:val="clear" w:color="auto" w:fill="0F4761"/>
            <w:vAlign w:val="center"/>
          </w:tcPr>
          <w:p>
            <w:pPr>
              <w:jc w:val="center"/>
            </w:pPr>
            <w:r/>
            <w:r>
              <w:rPr>
                <w:rFonts w:ascii="Times New Roman" w:hAnsi="Times New Roman"/>
                <w:b/>
                <w:color w:val="FFFFFF"/>
                <w:sz w:val="20"/>
              </w:rPr>
              <w:t>Sedes</w:t>
            </w:r>
          </w:p>
        </w:tc>
        <w:tc>
          <w:tcPr>
            <w:tcW w:type="dxa" w:w="1824"/>
            <w:shd w:val="clear" w:color="auto" w:fill="0F4761"/>
            <w:vAlign w:val="center"/>
          </w:tcPr>
          <w:p>
            <w:pPr>
              <w:jc w:val="center"/>
            </w:pPr>
            <w:r/>
            <w:r>
              <w:rPr>
                <w:rFonts w:ascii="Times New Roman" w:hAnsi="Times New Roman"/>
                <w:b/>
                <w:color w:val="FFFFFF"/>
                <w:sz w:val="20"/>
              </w:rPr>
              <w:t>Matrícula</w:t>
            </w:r>
          </w:p>
        </w:tc>
        <w:tc>
          <w:tcPr>
            <w:tcW w:type="dxa" w:w="1824"/>
            <w:shd w:val="clear" w:color="auto" w:fill="0F4761"/>
            <w:vAlign w:val="center"/>
          </w:tcPr>
          <w:p>
            <w:pPr>
              <w:jc w:val="center"/>
            </w:pPr>
            <w:r/>
            <w:r>
              <w:rPr>
                <w:rFonts w:ascii="Times New Roman" w:hAnsi="Times New Roman"/>
                <w:b/>
                <w:color w:val="FFFFFF"/>
                <w:sz w:val="20"/>
              </w:rPr>
              <w:t>Valor (MM COP)</w:t>
            </w:r>
          </w:p>
        </w:tc>
        <w:tc>
          <w:tcPr>
            <w:tcW w:type="dxa" w:w="1824"/>
            <w:shd w:val="clear" w:color="auto" w:fill="0F4761"/>
            <w:vAlign w:val="center"/>
          </w:tcPr>
          <w:p>
            <w:pPr>
              <w:jc w:val="center"/>
            </w:pPr>
            <w:r/>
            <w:r>
              <w:rPr>
                <w:rFonts w:ascii="Times New Roman" w:hAnsi="Times New Roman"/>
                <w:b/>
                <w:color w:val="FFFFFF"/>
                <w:sz w:val="20"/>
              </w:rPr>
              <w:t>% Plan</w:t>
            </w:r>
          </w:p>
        </w:tc>
      </w:tr>
      <w:tr>
        <w:tc>
          <w:tcPr>
            <w:tcW w:type="dxa" w:w="1824"/>
            <w:vAlign w:val="center"/>
          </w:tcPr>
          <w:p>
            <w:pPr>
              <w:jc w:val="left"/>
            </w:pPr>
            <w:r/>
            <w:r>
              <w:rPr>
                <w:rFonts w:ascii="Times New Roman" w:hAnsi="Times New Roman"/>
                <w:b w:val="0"/>
                <w:color w:val="000000"/>
                <w:sz w:val="20"/>
              </w:rPr>
              <w:t>P1 — Construcción Nueva Infraestructura</w:t>
            </w:r>
          </w:p>
        </w:tc>
        <w:tc>
          <w:tcPr>
            <w:tcW w:type="dxa" w:w="1824"/>
            <w:vAlign w:val="center"/>
          </w:tcPr>
          <w:p>
            <w:pPr>
              <w:jc w:val="left"/>
            </w:pPr>
            <w:r/>
            <w:r>
              <w:rPr>
                <w:rFonts w:ascii="Times New Roman" w:hAnsi="Times New Roman"/>
                <w:b w:val="0"/>
                <w:color w:val="000000"/>
                <w:sz w:val="20"/>
              </w:rPr>
              <w:t>1 of. + 1 cob.</w:t>
            </w:r>
          </w:p>
        </w:tc>
        <w:tc>
          <w:tcPr>
            <w:tcW w:type="dxa" w:w="1824"/>
            <w:vAlign w:val="center"/>
          </w:tcPr>
          <w:p>
            <w:pPr>
              <w:jc w:val="right"/>
            </w:pPr>
            <w:r/>
            <w:r>
              <w:rPr>
                <w:rFonts w:ascii="Times New Roman" w:hAnsi="Times New Roman"/>
                <w:b w:val="0"/>
                <w:color w:val="000000"/>
                <w:sz w:val="20"/>
              </w:rPr>
              <w:t>20.527</w:t>
            </w:r>
          </w:p>
        </w:tc>
        <w:tc>
          <w:tcPr>
            <w:tcW w:type="dxa" w:w="1824"/>
            <w:vAlign w:val="center"/>
          </w:tcPr>
          <w:p>
            <w:pPr>
              <w:jc w:val="right"/>
            </w:pPr>
            <w:r/>
            <w:r>
              <w:rPr>
                <w:rFonts w:ascii="Times New Roman" w:hAnsi="Times New Roman"/>
                <w:b w:val="0"/>
                <w:color w:val="000000"/>
                <w:sz w:val="20"/>
              </w:rPr>
              <w:t>802.070</w:t>
            </w:r>
          </w:p>
        </w:tc>
        <w:tc>
          <w:tcPr>
            <w:tcW w:type="dxa" w:w="1824"/>
            <w:vAlign w:val="center"/>
          </w:tcPr>
          <w:p>
            <w:pPr>
              <w:jc w:val="right"/>
            </w:pPr>
            <w:r/>
            <w:r>
              <w:rPr>
                <w:rFonts w:ascii="Times New Roman" w:hAnsi="Times New Roman"/>
                <w:b w:val="0"/>
                <w:color w:val="000000"/>
                <w:sz w:val="20"/>
              </w:rPr>
              <w:t>18.8%</w:t>
            </w:r>
          </w:p>
        </w:tc>
      </w:tr>
      <w:tr>
        <w:tc>
          <w:tcPr>
            <w:tcW w:type="dxa" w:w="1824"/>
            <w:vAlign w:val="center"/>
          </w:tcPr>
          <w:p>
            <w:pPr>
              <w:jc w:val="left"/>
            </w:pPr>
            <w:r/>
            <w:r>
              <w:rPr>
                <w:rFonts w:ascii="Times New Roman" w:hAnsi="Times New Roman"/>
                <w:b w:val="0"/>
                <w:color w:val="000000"/>
                <w:sz w:val="20"/>
              </w:rPr>
              <w:t>P2 — Reforzamiento Estructural Prioritario</w:t>
            </w:r>
          </w:p>
        </w:tc>
        <w:tc>
          <w:tcPr>
            <w:tcW w:type="dxa" w:w="1824"/>
            <w:vAlign w:val="center"/>
          </w:tcPr>
          <w:p>
            <w:pPr>
              <w:jc w:val="right"/>
            </w:pPr>
            <w:r/>
            <w:r>
              <w:rPr>
                <w:rFonts w:ascii="Times New Roman" w:hAnsi="Times New Roman"/>
                <w:b w:val="0"/>
                <w:color w:val="000000"/>
                <w:sz w:val="20"/>
              </w:rPr>
              <w:t>36</w:t>
            </w:r>
          </w:p>
        </w:tc>
        <w:tc>
          <w:tcPr>
            <w:tcW w:type="dxa" w:w="1824"/>
            <w:vAlign w:val="center"/>
          </w:tcPr>
          <w:p>
            <w:pPr>
              <w:jc w:val="right"/>
            </w:pPr>
            <w:r/>
            <w:r>
              <w:rPr>
                <w:rFonts w:ascii="Times New Roman" w:hAnsi="Times New Roman"/>
                <w:b w:val="0"/>
                <w:color w:val="000000"/>
                <w:sz w:val="20"/>
              </w:rPr>
              <w:t>11.423</w:t>
            </w:r>
          </w:p>
        </w:tc>
        <w:tc>
          <w:tcPr>
            <w:tcW w:type="dxa" w:w="1824"/>
            <w:vAlign w:val="center"/>
          </w:tcPr>
          <w:p>
            <w:pPr>
              <w:jc w:val="right"/>
            </w:pPr>
            <w:r/>
            <w:r>
              <w:rPr>
                <w:rFonts w:ascii="Times New Roman" w:hAnsi="Times New Roman"/>
                <w:b w:val="0"/>
                <w:color w:val="000000"/>
                <w:sz w:val="20"/>
              </w:rPr>
              <w:t>179.887</w:t>
            </w:r>
          </w:p>
        </w:tc>
        <w:tc>
          <w:tcPr>
            <w:tcW w:type="dxa" w:w="1824"/>
            <w:vAlign w:val="center"/>
          </w:tcPr>
          <w:p>
            <w:pPr>
              <w:jc w:val="right"/>
            </w:pPr>
            <w:r/>
            <w:r>
              <w:rPr>
                <w:rFonts w:ascii="Times New Roman" w:hAnsi="Times New Roman"/>
                <w:b w:val="0"/>
                <w:color w:val="000000"/>
                <w:sz w:val="20"/>
              </w:rPr>
              <w:t>4.2%</w:t>
            </w:r>
          </w:p>
        </w:tc>
      </w:tr>
      <w:tr>
        <w:tc>
          <w:tcPr>
            <w:tcW w:type="dxa" w:w="1824"/>
            <w:vAlign w:val="center"/>
          </w:tcPr>
          <w:p>
            <w:pPr>
              <w:jc w:val="left"/>
            </w:pPr>
            <w:r/>
            <w:r>
              <w:rPr>
                <w:rFonts w:ascii="Times New Roman" w:hAnsi="Times New Roman"/>
                <w:b w:val="0"/>
                <w:color w:val="000000"/>
                <w:sz w:val="20"/>
              </w:rPr>
              <w:t>P3 — Adecuación y Reforzamiento</w:t>
            </w:r>
          </w:p>
        </w:tc>
        <w:tc>
          <w:tcPr>
            <w:tcW w:type="dxa" w:w="1824"/>
            <w:vAlign w:val="center"/>
          </w:tcPr>
          <w:p>
            <w:pPr>
              <w:jc w:val="right"/>
            </w:pPr>
            <w:r/>
            <w:r>
              <w:rPr>
                <w:rFonts w:ascii="Times New Roman" w:hAnsi="Times New Roman"/>
                <w:b w:val="0"/>
                <w:color w:val="000000"/>
                <w:sz w:val="20"/>
              </w:rPr>
              <w:t>192</w:t>
            </w:r>
          </w:p>
        </w:tc>
        <w:tc>
          <w:tcPr>
            <w:tcW w:type="dxa" w:w="1824"/>
            <w:vAlign w:val="center"/>
          </w:tcPr>
          <w:p>
            <w:pPr>
              <w:jc w:val="right"/>
            </w:pPr>
            <w:r/>
            <w:r>
              <w:rPr>
                <w:rFonts w:ascii="Times New Roman" w:hAnsi="Times New Roman"/>
                <w:b w:val="0"/>
                <w:color w:val="000000"/>
                <w:sz w:val="20"/>
              </w:rPr>
              <w:t>71.120</w:t>
            </w:r>
          </w:p>
        </w:tc>
        <w:tc>
          <w:tcPr>
            <w:tcW w:type="dxa" w:w="1824"/>
            <w:vAlign w:val="center"/>
          </w:tcPr>
          <w:p>
            <w:pPr>
              <w:jc w:val="right"/>
            </w:pPr>
            <w:r/>
            <w:r>
              <w:rPr>
                <w:rFonts w:ascii="Times New Roman" w:hAnsi="Times New Roman"/>
                <w:b w:val="0"/>
                <w:color w:val="000000"/>
                <w:sz w:val="20"/>
              </w:rPr>
              <w:t>502.235</w:t>
            </w:r>
          </w:p>
        </w:tc>
        <w:tc>
          <w:tcPr>
            <w:tcW w:type="dxa" w:w="1824"/>
            <w:vAlign w:val="center"/>
          </w:tcPr>
          <w:p>
            <w:pPr>
              <w:jc w:val="right"/>
            </w:pPr>
            <w:r/>
            <w:r>
              <w:rPr>
                <w:rFonts w:ascii="Times New Roman" w:hAnsi="Times New Roman"/>
                <w:b w:val="0"/>
                <w:color w:val="000000"/>
                <w:sz w:val="20"/>
              </w:rPr>
              <w:t>11.8%</w:t>
            </w:r>
          </w:p>
        </w:tc>
      </w:tr>
      <w:tr>
        <w:tc>
          <w:tcPr>
            <w:tcW w:type="dxa" w:w="1824"/>
            <w:vAlign w:val="center"/>
          </w:tcPr>
          <w:p>
            <w:pPr>
              <w:jc w:val="left"/>
            </w:pPr>
            <w:r/>
            <w:r>
              <w:rPr>
                <w:rFonts w:ascii="Times New Roman" w:hAnsi="Times New Roman"/>
                <w:b w:val="0"/>
                <w:color w:val="000000"/>
                <w:sz w:val="20"/>
              </w:rPr>
              <w:t>P4 — Ampliación en Sitio Propio</w:t>
            </w:r>
          </w:p>
        </w:tc>
        <w:tc>
          <w:tcPr>
            <w:tcW w:type="dxa" w:w="1824"/>
            <w:vAlign w:val="center"/>
          </w:tcPr>
          <w:p>
            <w:pPr>
              <w:jc w:val="right"/>
            </w:pPr>
            <w:r/>
            <w:r>
              <w:rPr>
                <w:rFonts w:ascii="Times New Roman" w:hAnsi="Times New Roman"/>
                <w:b w:val="0"/>
                <w:color w:val="000000"/>
                <w:sz w:val="20"/>
              </w:rPr>
              <w:t>171</w:t>
            </w:r>
          </w:p>
        </w:tc>
        <w:tc>
          <w:tcPr>
            <w:tcW w:type="dxa" w:w="1824"/>
            <w:vAlign w:val="center"/>
          </w:tcPr>
          <w:p>
            <w:pPr>
              <w:jc w:val="right"/>
            </w:pPr>
            <w:r/>
            <w:r>
              <w:rPr>
                <w:rFonts w:ascii="Times New Roman" w:hAnsi="Times New Roman"/>
                <w:b w:val="0"/>
                <w:color w:val="000000"/>
                <w:sz w:val="20"/>
              </w:rPr>
              <w:t>65.720</w:t>
            </w:r>
          </w:p>
        </w:tc>
        <w:tc>
          <w:tcPr>
            <w:tcW w:type="dxa" w:w="1824"/>
            <w:vAlign w:val="center"/>
          </w:tcPr>
          <w:p>
            <w:pPr>
              <w:jc w:val="right"/>
            </w:pPr>
            <w:r/>
            <w:r>
              <w:rPr>
                <w:rFonts w:ascii="Times New Roman" w:hAnsi="Times New Roman"/>
                <w:b w:val="0"/>
                <w:color w:val="000000"/>
                <w:sz w:val="20"/>
              </w:rPr>
              <w:t>848.845</w:t>
            </w:r>
          </w:p>
        </w:tc>
        <w:tc>
          <w:tcPr>
            <w:tcW w:type="dxa" w:w="1824"/>
            <w:vAlign w:val="center"/>
          </w:tcPr>
          <w:p>
            <w:pPr>
              <w:jc w:val="right"/>
            </w:pPr>
            <w:r/>
            <w:r>
              <w:rPr>
                <w:rFonts w:ascii="Times New Roman" w:hAnsi="Times New Roman"/>
                <w:b w:val="0"/>
                <w:color w:val="000000"/>
                <w:sz w:val="20"/>
              </w:rPr>
              <w:t>19.9%</w:t>
            </w:r>
          </w:p>
        </w:tc>
      </w:tr>
      <w:tr>
        <w:tc>
          <w:tcPr>
            <w:tcW w:type="dxa" w:w="1824"/>
            <w:vAlign w:val="center"/>
          </w:tcPr>
          <w:p>
            <w:pPr>
              <w:jc w:val="left"/>
            </w:pPr>
            <w:r/>
            <w:r>
              <w:rPr>
                <w:rFonts w:ascii="Times New Roman" w:hAnsi="Times New Roman"/>
                <w:b w:val="0"/>
                <w:color w:val="000000"/>
                <w:sz w:val="20"/>
              </w:rPr>
              <w:t>P5 — Redistribución de Matrícula</w:t>
            </w:r>
          </w:p>
        </w:tc>
        <w:tc>
          <w:tcPr>
            <w:tcW w:type="dxa" w:w="1824"/>
            <w:vAlign w:val="center"/>
          </w:tcPr>
          <w:p>
            <w:pPr>
              <w:jc w:val="right"/>
            </w:pPr>
            <w:r/>
            <w:r>
              <w:rPr>
                <w:rFonts w:ascii="Times New Roman" w:hAnsi="Times New Roman"/>
                <w:b w:val="0"/>
                <w:color w:val="000000"/>
                <w:sz w:val="20"/>
              </w:rPr>
              <w:t>41</w:t>
            </w:r>
          </w:p>
        </w:tc>
        <w:tc>
          <w:tcPr>
            <w:tcW w:type="dxa" w:w="1824"/>
            <w:vAlign w:val="center"/>
          </w:tcPr>
          <w:p>
            <w:pPr>
              <w:jc w:val="right"/>
            </w:pPr>
            <w:r/>
            <w:r>
              <w:rPr>
                <w:rFonts w:ascii="Times New Roman" w:hAnsi="Times New Roman"/>
                <w:b w:val="0"/>
                <w:color w:val="000000"/>
                <w:sz w:val="20"/>
              </w:rPr>
              <w:t>14.302</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P6 — Cierre de Sede y Redistribución</w:t>
            </w:r>
          </w:p>
        </w:tc>
        <w:tc>
          <w:tcPr>
            <w:tcW w:type="dxa" w:w="1824"/>
            <w:vAlign w:val="center"/>
          </w:tcPr>
          <w:p>
            <w:pPr>
              <w:jc w:val="right"/>
            </w:pPr>
            <w:r/>
            <w:r>
              <w:rPr>
                <w:rFonts w:ascii="Times New Roman" w:hAnsi="Times New Roman"/>
                <w:b w:val="0"/>
                <w:color w:val="000000"/>
                <w:sz w:val="20"/>
              </w:rPr>
              <w:t>81</w:t>
            </w:r>
          </w:p>
        </w:tc>
        <w:tc>
          <w:tcPr>
            <w:tcW w:type="dxa" w:w="1824"/>
            <w:vAlign w:val="center"/>
          </w:tcPr>
          <w:p>
            <w:pPr>
              <w:jc w:val="right"/>
            </w:pPr>
            <w:r/>
            <w:r>
              <w:rPr>
                <w:rFonts w:ascii="Times New Roman" w:hAnsi="Times New Roman"/>
                <w:b w:val="0"/>
                <w:color w:val="000000"/>
                <w:sz w:val="20"/>
              </w:rPr>
              <w:t>33.064</w:t>
            </w:r>
          </w:p>
        </w:tc>
        <w:tc>
          <w:tcPr>
            <w:tcW w:type="dxa" w:w="1824"/>
            <w:vAlign w:val="center"/>
          </w:tcPr>
          <w:p>
            <w:pPr>
              <w:jc w:val="right"/>
            </w:pPr>
            <w:r/>
            <w:r>
              <w:rPr>
                <w:rFonts w:ascii="Times New Roman" w:hAnsi="Times New Roman"/>
                <w:b w:val="0"/>
                <w:color w:val="000000"/>
                <w:sz w:val="20"/>
              </w:rPr>
              <w:t>1.800.196</w:t>
            </w:r>
          </w:p>
        </w:tc>
        <w:tc>
          <w:tcPr>
            <w:tcW w:type="dxa" w:w="1824"/>
            <w:vAlign w:val="center"/>
          </w:tcPr>
          <w:p>
            <w:pPr>
              <w:jc w:val="right"/>
            </w:pPr>
            <w:r/>
            <w:r>
              <w:rPr>
                <w:rFonts w:ascii="Times New Roman" w:hAnsi="Times New Roman"/>
                <w:b w:val="0"/>
                <w:color w:val="000000"/>
                <w:sz w:val="20"/>
              </w:rPr>
              <w:t>42.1%</w:t>
            </w:r>
          </w:p>
        </w:tc>
      </w:tr>
      <w:tr>
        <w:tc>
          <w:tcPr>
            <w:tcW w:type="dxa" w:w="1824"/>
            <w:vAlign w:val="center"/>
          </w:tcPr>
          <w:p>
            <w:pPr>
              <w:jc w:val="left"/>
            </w:pPr>
            <w:r/>
            <w:r>
              <w:rPr>
                <w:rFonts w:ascii="Times New Roman" w:hAnsi="Times New Roman"/>
                <w:b w:val="0"/>
                <w:color w:val="000000"/>
                <w:sz w:val="20"/>
              </w:rPr>
              <w:t>P7 — Adecuación Parcial</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P8 — Reconstrucción en Sitio Propio</w:t>
            </w:r>
          </w:p>
        </w:tc>
        <w:tc>
          <w:tcPr>
            <w:tcW w:type="dxa" w:w="1824"/>
            <w:vAlign w:val="center"/>
          </w:tcPr>
          <w:p>
            <w:pPr>
              <w:jc w:val="right"/>
            </w:pPr>
            <w:r/>
            <w:r>
              <w:rPr>
                <w:rFonts w:ascii="Times New Roman" w:hAnsi="Times New Roman"/>
                <w:b w:val="0"/>
                <w:color w:val="000000"/>
                <w:sz w:val="20"/>
              </w:rPr>
              <w:t>19</w:t>
            </w:r>
          </w:p>
        </w:tc>
        <w:tc>
          <w:tcPr>
            <w:tcW w:type="dxa" w:w="1824"/>
            <w:vAlign w:val="center"/>
          </w:tcPr>
          <w:p>
            <w:pPr>
              <w:jc w:val="right"/>
            </w:pPr>
            <w:r/>
            <w:r>
              <w:rPr>
                <w:rFonts w:ascii="Times New Roman" w:hAnsi="Times New Roman"/>
                <w:b w:val="0"/>
                <w:color w:val="000000"/>
                <w:sz w:val="20"/>
              </w:rPr>
              <w:t>8.160</w:t>
            </w:r>
          </w:p>
        </w:tc>
        <w:tc>
          <w:tcPr>
            <w:tcW w:type="dxa" w:w="1824"/>
            <w:vAlign w:val="center"/>
          </w:tcPr>
          <w:p>
            <w:pPr>
              <w:jc w:val="right"/>
            </w:pPr>
            <w:r/>
            <w:r>
              <w:rPr>
                <w:rFonts w:ascii="Times New Roman" w:hAnsi="Times New Roman"/>
                <w:b w:val="0"/>
                <w:color w:val="000000"/>
                <w:sz w:val="20"/>
              </w:rPr>
              <w:t>140.947</w:t>
            </w:r>
          </w:p>
        </w:tc>
        <w:tc>
          <w:tcPr>
            <w:tcW w:type="dxa" w:w="1824"/>
            <w:vAlign w:val="center"/>
          </w:tcPr>
          <w:p>
            <w:pPr>
              <w:jc w:val="right"/>
            </w:pPr>
            <w:r/>
            <w:r>
              <w:rPr>
                <w:rFonts w:ascii="Times New Roman" w:hAnsi="Times New Roman"/>
                <w:b w:val="0"/>
                <w:color w:val="000000"/>
                <w:sz w:val="20"/>
              </w:rPr>
              <w:t>3.3%</w:t>
            </w:r>
          </w:p>
        </w:tc>
      </w:tr>
      <w:tr>
        <w:tc>
          <w:tcPr>
            <w:tcW w:type="dxa" w:w="1824"/>
            <w:vAlign w:val="center"/>
          </w:tcPr>
          <w:p>
            <w:pPr>
              <w:jc w:val="left"/>
            </w:pPr>
            <w:r/>
            <w:r>
              <w:rPr>
                <w:rFonts w:ascii="Times New Roman" w:hAnsi="Times New Roman"/>
                <w:b w:val="0"/>
                <w:color w:val="000000"/>
                <w:sz w:val="20"/>
              </w:rPr>
              <w:t>SIN_MAT — Sin matrícula registrada</w:t>
            </w:r>
          </w:p>
        </w:tc>
        <w:tc>
          <w:tcPr>
            <w:tcW w:type="dxa" w:w="1824"/>
            <w:vAlign w:val="center"/>
          </w:tcPr>
          <w:p>
            <w:pPr>
              <w:jc w:val="right"/>
            </w:pPr>
            <w:r/>
            <w:r>
              <w:rPr>
                <w:rFonts w:ascii="Times New Roman" w:hAnsi="Times New Roman"/>
                <w:b w:val="0"/>
                <w:color w:val="000000"/>
                <w:sz w:val="20"/>
              </w:rPr>
              <w:t>23</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TOTAL</w:t>
            </w:r>
          </w:p>
        </w:tc>
        <w:tc>
          <w:tcPr>
            <w:tcW w:type="dxa" w:w="1824"/>
            <w:vAlign w:val="center"/>
          </w:tcPr>
          <w:p>
            <w:pPr>
              <w:jc w:val="right"/>
            </w:pPr>
            <w:r/>
            <w:r>
              <w:rPr>
                <w:rFonts w:ascii="Times New Roman" w:hAnsi="Times New Roman"/>
                <w:b w:val="0"/>
                <w:color w:val="000000"/>
                <w:sz w:val="20"/>
              </w:rPr>
              <w:t>316</w:t>
            </w:r>
          </w:p>
        </w:tc>
        <w:tc>
          <w:tcPr>
            <w:tcW w:type="dxa" w:w="1824"/>
            <w:vAlign w:val="center"/>
          </w:tcPr>
          <w:p>
            <w:pPr>
              <w:jc w:val="right"/>
            </w:pPr>
            <w:r/>
            <w:r>
              <w:rPr>
                <w:rFonts w:ascii="Times New Roman" w:hAnsi="Times New Roman"/>
                <w:b w:val="0"/>
                <w:color w:val="000000"/>
                <w:sz w:val="20"/>
              </w:rPr>
              <w:t>224.316</w:t>
            </w:r>
          </w:p>
        </w:tc>
        <w:tc>
          <w:tcPr>
            <w:tcW w:type="dxa" w:w="1824"/>
            <w:vAlign w:val="center"/>
          </w:tcPr>
          <w:p>
            <w:pPr>
              <w:jc w:val="right"/>
            </w:pPr>
            <w:r/>
            <w:r>
              <w:rPr>
                <w:rFonts w:ascii="Times New Roman" w:hAnsi="Times New Roman"/>
                <w:b w:val="0"/>
                <w:color w:val="000000"/>
                <w:sz w:val="20"/>
              </w:rPr>
              <w:t>4.274.180</w:t>
            </w:r>
          </w:p>
        </w:tc>
        <w:tc>
          <w:tcPr>
            <w:tcW w:type="dxa" w:w="1824"/>
            <w:vAlign w:val="center"/>
          </w:tcPr>
          <w:p>
            <w:pPr>
              <w:jc w:val="right"/>
            </w:pPr>
            <w:r/>
            <w:r>
              <w:rPr>
                <w:rFonts w:ascii="Times New Roman" w:hAnsi="Times New Roman"/>
                <w:b w:val="0"/>
                <w:color w:val="000000"/>
                <w:sz w:val="20"/>
              </w:rPr>
              <w:t>100,0%</w:t>
            </w:r>
          </w:p>
        </w:tc>
      </w:tr>
    </w:tbl>
    <w:p>
      <w:pPr>
        <w:jc w:val="both"/>
      </w:pPr>
      <w:r>
        <w:rPr>
          <w:rFonts w:ascii="Times New Roman" w:hAnsi="Times New Roman"/>
          <w:b w:val="0"/>
          <w:i/>
          <w:color w:val="747474"/>
          <w:sz w:val="18"/>
        </w:rPr>
        <w:t>Fuente: Herramienta Consolidada PMIE 2026 — corrida con parámetros por defecto · 13 de mayo de 2026.</w:t>
      </w:r>
    </w:p>
    <w:p>
      <w:r>
        <w:br w:type="page"/>
      </w:r>
    </w:p>
    <w:p>
      <w:pPr>
        <w:pStyle w:val="Heading1"/>
      </w:pPr>
      <w:r>
        <w:t>Índice de Tablas y Figuras</w:t>
      </w:r>
    </w:p>
    <w:p>
      <w:pPr>
        <w:jc w:val="both"/>
      </w:pPr>
      <w:r>
        <w:rPr>
          <w:rFonts w:ascii="Times New Roman" w:hAnsi="Times New Roman"/>
          <w:b w:val="0"/>
          <w:i w:val="0"/>
          <w:color w:val="000000"/>
          <w:sz w:val="22"/>
        </w:rPr>
        <w:t>El presente documento contiene 28 tablas, 5 mapas temáticos del SIG-PMIE y un diagrama de árbol de decisión. Las referencias se identifican como «Tabla N» y «Figura N» en orden de aparición. La paginación final del documento se actualizará en la composición editorial.</w:t>
      </w:r>
    </w:p>
    <w:p>
      <w:pPr>
        <w:pStyle w:val="Heading2"/>
      </w:pPr>
      <w:r>
        <w:t>Tablas</w:t>
      </w:r>
    </w:p>
    <w:p>
      <w:r>
        <w:rPr>
          <w:rFonts w:ascii="Times New Roman" w:hAnsi="Times New Roman"/>
          <w:b/>
        </w:rPr>
        <w:t xml:space="preserve">Tabla 1. </w:t>
      </w:r>
      <w:r>
        <w:rPr>
          <w:rFonts w:ascii="Times New Roman" w:hAnsi="Times New Roman"/>
        </w:rPr>
        <w:t>Distribución de sedes y matrícula por programa oficial de intervención PMIE 2026</w:t>
      </w:r>
    </w:p>
    <w:p>
      <w:r>
        <w:rPr>
          <w:rFonts w:ascii="Times New Roman" w:hAnsi="Times New Roman"/>
          <w:b/>
        </w:rPr>
        <w:t xml:space="preserve">Tabla 2. </w:t>
      </w:r>
      <w:r>
        <w:rPr>
          <w:rFonts w:ascii="Times New Roman" w:hAnsi="Times New Roman"/>
        </w:rPr>
        <w:t>Marco normativo nacional aplicable al PMIE 2026</w:t>
      </w:r>
    </w:p>
    <w:p>
      <w:r>
        <w:rPr>
          <w:rFonts w:ascii="Times New Roman" w:hAnsi="Times New Roman"/>
          <w:b/>
        </w:rPr>
        <w:t xml:space="preserve">Tabla 3. </w:t>
      </w:r>
      <w:r>
        <w:rPr>
          <w:rFonts w:ascii="Times New Roman" w:hAnsi="Times New Roman"/>
        </w:rPr>
        <w:t>Marco programático y reglamentario distrital</w:t>
      </w:r>
    </w:p>
    <w:p>
      <w:r>
        <w:rPr>
          <w:rFonts w:ascii="Times New Roman" w:hAnsi="Times New Roman"/>
          <w:b/>
        </w:rPr>
        <w:t xml:space="preserve">Tabla 4. </w:t>
      </w:r>
      <w:r>
        <w:rPr>
          <w:rFonts w:ascii="Times New Roman" w:hAnsi="Times New Roman"/>
        </w:rPr>
        <w:t>Dimensiones del diagnóstico — normas e indicadores</w:t>
      </w:r>
    </w:p>
    <w:p>
      <w:r>
        <w:rPr>
          <w:rFonts w:ascii="Times New Roman" w:hAnsi="Times New Roman"/>
          <w:b/>
        </w:rPr>
        <w:t xml:space="preserve">Tabla 5. </w:t>
      </w:r>
      <w:r>
        <w:rPr>
          <w:rFonts w:ascii="Times New Roman" w:hAnsi="Times New Roman"/>
        </w:rPr>
        <w:t>Cuatro fases de la NTC 6705:2023 y su mapeo a los capítulos del PMIE</w:t>
      </w:r>
    </w:p>
    <w:p>
      <w:r>
        <w:rPr>
          <w:rFonts w:ascii="Times New Roman" w:hAnsi="Times New Roman"/>
          <w:b/>
        </w:rPr>
        <w:t xml:space="preserve">Tabla 6. </w:t>
      </w:r>
      <w:r>
        <w:rPr>
          <w:rFonts w:ascii="Times New Roman" w:hAnsi="Times New Roman"/>
        </w:rPr>
        <w:t>Fases del proceso de formulación 2025-2026</w:t>
      </w:r>
    </w:p>
    <w:p>
      <w:r>
        <w:rPr>
          <w:rFonts w:ascii="Times New Roman" w:hAnsi="Times New Roman"/>
          <w:b/>
        </w:rPr>
        <w:t xml:space="preserve">Tabla 7. </w:t>
      </w:r>
      <w:r>
        <w:rPr>
          <w:rFonts w:ascii="Times New Roman" w:hAnsi="Times New Roman"/>
        </w:rPr>
        <w:t>Parámetros del modelo demográfico-educativo MCDE-T</w:t>
      </w:r>
    </w:p>
    <w:p>
      <w:r>
        <w:rPr>
          <w:rFonts w:ascii="Times New Roman" w:hAnsi="Times New Roman"/>
          <w:b/>
        </w:rPr>
        <w:t xml:space="preserve">Tabla 8. </w:t>
      </w:r>
      <w:r>
        <w:rPr>
          <w:rFonts w:ascii="Times New Roman" w:hAnsi="Times New Roman"/>
        </w:rPr>
        <w:t>Caracterización del sistema educativo distrital — variables base</w:t>
      </w:r>
    </w:p>
    <w:p>
      <w:r>
        <w:rPr>
          <w:rFonts w:ascii="Times New Roman" w:hAnsi="Times New Roman"/>
          <w:b/>
        </w:rPr>
        <w:t xml:space="preserve">Tabla 9. </w:t>
      </w:r>
      <w:r>
        <w:rPr>
          <w:rFonts w:ascii="Times New Roman" w:hAnsi="Times New Roman"/>
        </w:rPr>
        <w:t>Clasificación de sedes por nivel de riesgo NSR-10</w:t>
      </w:r>
    </w:p>
    <w:p>
      <w:r>
        <w:rPr>
          <w:rFonts w:ascii="Times New Roman" w:hAnsi="Times New Roman"/>
          <w:b/>
        </w:rPr>
        <w:t xml:space="preserve">Tabla 10. </w:t>
      </w:r>
      <w:r>
        <w:rPr>
          <w:rFonts w:ascii="Times New Roman" w:hAnsi="Times New Roman"/>
        </w:rPr>
        <w:t>Componentes y ponderaciones del Índice NTC 4595</w:t>
      </w:r>
    </w:p>
    <w:p>
      <w:r>
        <w:rPr>
          <w:rFonts w:ascii="Times New Roman" w:hAnsi="Times New Roman"/>
          <w:b/>
        </w:rPr>
        <w:t xml:space="preserve">Tabla 11. </w:t>
      </w:r>
      <w:r>
        <w:rPr>
          <w:rFonts w:ascii="Times New Roman" w:hAnsi="Times New Roman"/>
        </w:rPr>
        <w:t>Distribución de sedes por clasificación NTC 4595</w:t>
      </w:r>
    </w:p>
    <w:p>
      <w:r>
        <w:rPr>
          <w:rFonts w:ascii="Times New Roman" w:hAnsi="Times New Roman"/>
          <w:b/>
        </w:rPr>
        <w:t xml:space="preserve">Tabla 12. </w:t>
      </w:r>
      <w:r>
        <w:rPr>
          <w:rFonts w:ascii="Times New Roman" w:hAnsi="Times New Roman"/>
        </w:rPr>
        <w:t>Brecha funcional desagregada por componente</w:t>
      </w:r>
    </w:p>
    <w:p>
      <w:r>
        <w:rPr>
          <w:rFonts w:ascii="Times New Roman" w:hAnsi="Times New Roman"/>
          <w:b/>
        </w:rPr>
        <w:t xml:space="preserve">Tabla 13. </w:t>
      </w:r>
      <w:r>
        <w:rPr>
          <w:rFonts w:ascii="Times New Roman" w:hAnsi="Times New Roman"/>
        </w:rPr>
        <w:t>Brechas consolidadas (BF + BE) y cobertura</w:t>
      </w:r>
    </w:p>
    <w:p>
      <w:r>
        <w:rPr>
          <w:rFonts w:ascii="Times New Roman" w:hAnsi="Times New Roman"/>
          <w:b/>
        </w:rPr>
        <w:t xml:space="preserve">Tabla 14. </w:t>
      </w:r>
      <w:r>
        <w:rPr>
          <w:rFonts w:ascii="Times New Roman" w:hAnsi="Times New Roman"/>
        </w:rPr>
        <w:t>Proyección demográfica 2024–2039 MCDE-T</w:t>
      </w:r>
    </w:p>
    <w:p>
      <w:r>
        <w:rPr>
          <w:rFonts w:ascii="Times New Roman" w:hAnsi="Times New Roman"/>
          <w:b/>
        </w:rPr>
        <w:t xml:space="preserve">Tabla 15. </w:t>
      </w:r>
      <w:r>
        <w:rPr>
          <w:rFonts w:ascii="Times New Roman" w:hAnsi="Times New Roman"/>
        </w:rPr>
        <w:t>Comunas por patrón demográfico y prioridad PMIE</w:t>
      </w:r>
    </w:p>
    <w:p>
      <w:r>
        <w:rPr>
          <w:rFonts w:ascii="Times New Roman" w:hAnsi="Times New Roman"/>
          <w:b/>
        </w:rPr>
        <w:t xml:space="preserve">Tabla 16. </w:t>
      </w:r>
      <w:r>
        <w:rPr>
          <w:rFonts w:ascii="Times New Roman" w:hAnsi="Times New Roman"/>
        </w:rPr>
        <w:t>Principios de priorización y criterios técnicos</w:t>
      </w:r>
    </w:p>
    <w:p>
      <w:r>
        <w:rPr>
          <w:rFonts w:ascii="Times New Roman" w:hAnsi="Times New Roman"/>
          <w:b/>
        </w:rPr>
        <w:t xml:space="preserve">Tabla 17. </w:t>
      </w:r>
      <w:r>
        <w:rPr>
          <w:rFonts w:ascii="Times New Roman" w:hAnsi="Times New Roman"/>
        </w:rPr>
        <w:t>Árbol de decisión — 11 nodos oficiales con rutas SÍ/NO</w:t>
      </w:r>
    </w:p>
    <w:p>
      <w:r>
        <w:rPr>
          <w:rFonts w:ascii="Times New Roman" w:hAnsi="Times New Roman"/>
          <w:b/>
        </w:rPr>
        <w:t xml:space="preserve">Tabla 18. </w:t>
      </w:r>
      <w:r>
        <w:rPr>
          <w:rFonts w:ascii="Times New Roman" w:hAnsi="Times New Roman"/>
        </w:rPr>
        <w:t>Parámetros configurables del árbol de decisión</w:t>
      </w:r>
    </w:p>
    <w:p>
      <w:r>
        <w:rPr>
          <w:rFonts w:ascii="Times New Roman" w:hAnsi="Times New Roman"/>
          <w:b/>
        </w:rPr>
        <w:t xml:space="preserve">Tabla 19. </w:t>
      </w:r>
      <w:r>
        <w:rPr>
          <w:rFonts w:ascii="Times New Roman" w:hAnsi="Times New Roman"/>
        </w:rPr>
        <w:t>Definición técnica de los ocho programas oficiales</w:t>
      </w:r>
    </w:p>
    <w:p>
      <w:r>
        <w:rPr>
          <w:rFonts w:ascii="Times New Roman" w:hAnsi="Times New Roman"/>
          <w:b/>
        </w:rPr>
        <w:t xml:space="preserve">Tabla 20. </w:t>
      </w:r>
      <w:r>
        <w:rPr>
          <w:rFonts w:ascii="Times New Roman" w:hAnsi="Times New Roman"/>
        </w:rPr>
        <w:t>Escenarios de implementación del Plan</w:t>
      </w:r>
    </w:p>
    <w:p>
      <w:r>
        <w:rPr>
          <w:rFonts w:ascii="Times New Roman" w:hAnsi="Times New Roman"/>
          <w:b/>
        </w:rPr>
        <w:t xml:space="preserve">Tabla 21. </w:t>
      </w:r>
      <w:r>
        <w:rPr>
          <w:rFonts w:ascii="Times New Roman" w:hAnsi="Times New Roman"/>
        </w:rPr>
        <w:t>Distribución temporal de la inversión 2026–2039</w:t>
      </w:r>
    </w:p>
    <w:p>
      <w:r>
        <w:rPr>
          <w:rFonts w:ascii="Times New Roman" w:hAnsi="Times New Roman"/>
          <w:b/>
        </w:rPr>
        <w:t xml:space="preserve">Tabla 22. </w:t>
      </w:r>
      <w:r>
        <w:rPr>
          <w:rFonts w:ascii="Times New Roman" w:hAnsi="Times New Roman"/>
        </w:rPr>
        <w:t>Fuentes de financiación previstas</w:t>
      </w:r>
    </w:p>
    <w:p>
      <w:r>
        <w:rPr>
          <w:rFonts w:ascii="Times New Roman" w:hAnsi="Times New Roman"/>
          <w:b/>
        </w:rPr>
        <w:t xml:space="preserve">Tabla 23. </w:t>
      </w:r>
      <w:r>
        <w:rPr>
          <w:rFonts w:ascii="Times New Roman" w:hAnsi="Times New Roman"/>
        </w:rPr>
        <w:t>Quintiles de eficiencia BC por estudiante</w:t>
      </w:r>
    </w:p>
    <w:p>
      <w:r>
        <w:rPr>
          <w:rFonts w:ascii="Times New Roman" w:hAnsi="Times New Roman"/>
          <w:b/>
        </w:rPr>
        <w:t xml:space="preserve">Tabla 24. </w:t>
      </w:r>
      <w:r>
        <w:rPr>
          <w:rFonts w:ascii="Times New Roman" w:hAnsi="Times New Roman"/>
        </w:rPr>
        <w:t>Plan Indicativo PMIE 2026 — metas e indicadores</w:t>
      </w:r>
    </w:p>
    <w:p>
      <w:r>
        <w:rPr>
          <w:rFonts w:ascii="Times New Roman" w:hAnsi="Times New Roman"/>
          <w:b/>
        </w:rPr>
        <w:t xml:space="preserve">Tabla 25. </w:t>
      </w:r>
      <w:r>
        <w:rPr>
          <w:rFonts w:ascii="Times New Roman" w:hAnsi="Times New Roman"/>
        </w:rPr>
        <w:t>Glosario consolidado de términos y siglas</w:t>
      </w:r>
    </w:p>
    <w:p>
      <w:r>
        <w:rPr>
          <w:rFonts w:ascii="Times New Roman" w:hAnsi="Times New Roman"/>
          <w:b/>
        </w:rPr>
        <w:t xml:space="preserve">Tabla 26. </w:t>
      </w:r>
      <w:r>
        <w:rPr>
          <w:rFonts w:ascii="Times New Roman" w:hAnsi="Times New Roman"/>
        </w:rPr>
        <w:t>Algoritmos de costeo aplicados por programa</w:t>
      </w:r>
    </w:p>
    <w:p>
      <w:r>
        <w:rPr>
          <w:rFonts w:ascii="Times New Roman" w:hAnsi="Times New Roman"/>
          <w:b/>
        </w:rPr>
        <w:t xml:space="preserve">Tabla 27. </w:t>
      </w:r>
      <w:r>
        <w:rPr>
          <w:rFonts w:ascii="Times New Roman" w:hAnsi="Times New Roman"/>
        </w:rPr>
        <w:t>Trazabilidad de fuentes de información</w:t>
      </w:r>
    </w:p>
    <w:p>
      <w:r>
        <w:rPr>
          <w:rFonts w:ascii="Times New Roman" w:hAnsi="Times New Roman"/>
          <w:b/>
        </w:rPr>
        <w:t xml:space="preserve">Tabla 28. </w:t>
      </w:r>
      <w:r>
        <w:rPr>
          <w:rFonts w:ascii="Times New Roman" w:hAnsi="Times New Roman"/>
        </w:rPr>
        <w:t>Matriz de cumplimiento NTC 6705:2023</w:t>
      </w:r>
    </w:p>
    <w:p>
      <w:pPr>
        <w:pStyle w:val="Heading2"/>
      </w:pPr>
      <w:r>
        <w:t>Figuras y Mapas</w:t>
      </w:r>
    </w:p>
    <w:p>
      <w:r>
        <w:rPr>
          <w:b/>
        </w:rPr>
        <w:t xml:space="preserve">Figura 1. </w:t>
      </w:r>
      <w:r>
        <w:t>Diagrama del árbol de decisión técnico PMIE 2026 (11 nodos)</w:t>
      </w:r>
    </w:p>
    <w:p>
      <w:r>
        <w:rPr>
          <w:b/>
        </w:rPr>
        <w:t xml:space="preserve">Mapa 1. </w:t>
      </w:r>
      <w:r>
        <w:t>Densidad de sedes de IEO públicas en el Distrito de Santiago de Cali</w:t>
      </w:r>
    </w:p>
    <w:p>
      <w:r>
        <w:rPr>
          <w:b/>
        </w:rPr>
        <w:t xml:space="preserve">Mapa 2. </w:t>
      </w:r>
      <w:r>
        <w:t>Calor de matrículas públicas con localización de sedes educativas</w:t>
      </w:r>
    </w:p>
    <w:p>
      <w:r>
        <w:rPr>
          <w:b/>
        </w:rPr>
        <w:t xml:space="preserve">Mapa 3. </w:t>
      </w:r>
      <w:r>
        <w:t>Calor de matrículas públicas sin localización de sedes</w:t>
      </w:r>
    </w:p>
    <w:p>
      <w:r>
        <w:rPr>
          <w:b/>
        </w:rPr>
        <w:t xml:space="preserve">Mapa 4. </w:t>
      </w:r>
      <w:r>
        <w:t>Densidad de estudiantes cercanos (&lt;400m) a su sede educativa matriculada</w:t>
      </w:r>
    </w:p>
    <w:p>
      <w:r>
        <w:rPr>
          <w:b/>
        </w:rPr>
        <w:t xml:space="preserve">Mapa 5. </w:t>
      </w:r>
      <w:r>
        <w:t>Densidad de matrículas lejanas (&gt;400m) a su sede asignada</w:t>
      </w:r>
    </w:p>
    <w:p>
      <w:r>
        <w:br w:type="page"/>
      </w:r>
    </w:p>
    <w:p>
      <w:pPr>
        <w:pStyle w:val="Heading1"/>
      </w:pPr>
      <w:r>
        <w:t>Introducción</w:t>
      </w:r>
    </w:p>
    <w:p>
      <w:pPr>
        <w:jc w:val="both"/>
      </w:pPr>
      <w:r>
        <w:rPr>
          <w:rFonts w:ascii="Times New Roman" w:hAnsi="Times New Roman"/>
          <w:b w:val="0"/>
          <w:i w:val="0"/>
          <w:color w:val="000000"/>
          <w:sz w:val="22"/>
        </w:rPr>
        <w:t>La infraestructura escolar es uno de los pilares esenciales del desarrollo social y educativo. Su calidad, suficiencia y seguridad inciden de manera directa sobre las oportunidades de aprendizaje, la permanencia escolar, la seguridad sísmica de la comunidad educativa y el bienestar de las comunidades atendidas. La Constitución Política de Colombia (artículo 67) reconoce la educación como derecho fundamental y servicio público con función social, lo que impone al Estado y a las entidades territoriales certificadas, como el Distrito de Santiago de Cali, la obligación de garantizar que las instituciones educativas oficiales (IEO) operen en condiciones físicas dignas, seguras y suficientes.</w:t>
      </w:r>
    </w:p>
    <w:p>
      <w:pPr>
        <w:jc w:val="both"/>
      </w:pPr>
      <w:r>
        <w:rPr>
          <w:rFonts w:ascii="Times New Roman" w:hAnsi="Times New Roman"/>
          <w:b w:val="0"/>
          <w:i w:val="0"/>
          <w:color w:val="000000"/>
          <w:sz w:val="22"/>
        </w:rPr>
        <w:t>El Plan Maestro de Infraestructura Educativa 2026–2039 (en adelante, «el Plan» o «PMIE 2026») surge como actualización integral del Plan Municipal de Infraestructura Educativa 2019 que formuló la Alcaldía de Santiago de Cali con el apoyo metodológico del Banco Mundial y la Universidad de los Andes. El Plan 2019 estableció una metodología pionera —diagnóstico técnico de campo, análisis de brechas estructurales y funcionales, formulación de estrategias mediante árbol de decisión— que orientó la planeación educativa del Distrito durante el periodo 2020–2023 y sirve como antecedente metodológico y comparativo del presente Plan.</w:t>
      </w:r>
    </w:p>
    <w:p>
      <w:pPr>
        <w:jc w:val="both"/>
      </w:pPr>
      <w:r>
        <w:rPr>
          <w:rFonts w:ascii="Times New Roman" w:hAnsi="Times New Roman"/>
          <w:b w:val="0"/>
          <w:i w:val="0"/>
          <w:color w:val="000000"/>
          <w:sz w:val="22"/>
        </w:rPr>
        <w:t>La actualización 2026 se justifica por seis factores convergentes: (i) la expedición de la NTC 6705:2023, que regula específicamente la elaboración de planes maestros de infraestructura educativa; (ii) la promulgación de la Política Nacional de Infraestructura Educativa del Ministerio de Educación Nacional (2022); (iii) la transformación demográfica y territorial del Distrito tras la pandemia COVID-19; (iv) la actualización de la matrícula oficial SIMAT con datos 2024 y 2026; (v) la incorporación de la Brecha Estructural NSR-10 con escenarios sísmicos diferenciados (Seguridad Limitada y Sismo de Diseño); y (vi) la necesidad de superar las limitaciones metodológicas identificadas en el Plan 2019 —entre ellas, el índice NTC 4595 con 221 sedes con valor idéntico (0,6719) producto de la estimación por promedios muestrales.</w:t>
      </w:r>
    </w:p>
    <w:p>
      <w:pPr>
        <w:jc w:val="both"/>
      </w:pPr>
      <w:r>
        <w:rPr>
          <w:rFonts w:ascii="Times New Roman" w:hAnsi="Times New Roman"/>
          <w:b w:val="0"/>
          <w:i w:val="0"/>
          <w:color w:val="000000"/>
          <w:sz w:val="22"/>
        </w:rPr>
        <w:t>El presente documento constituye la versión técnica definitiva del PMIE 2026 elaborada por la Subsecretaría de Planeación Sectorial de la Secretaría de Educación Distrital, en coordinación con la Dirección de Planeación y Gestión, el Grupo Técnico de Análisis de Infraestructura y la Unidad de Sistemas de Información Geográfica. Su contenido se organiza en cuatro Partes que siguen la lógica de la NTC 6705:2023, complementadas con un sistema de anexos técnicos que garantizan trazabilidad y reproducibilidad académica.</w:t>
      </w:r>
    </w:p>
    <w:p>
      <w:pPr>
        <w:ind w:left="850" w:right="850"/>
      </w:pPr>
      <w:r>
        <w:rPr>
          <w:rFonts w:ascii="Times New Roman" w:hAnsi="Times New Roman"/>
          <w:i/>
          <w:color w:val="595959"/>
          <w:sz w:val="20"/>
        </w:rPr>
        <w:t>La Parte I presenta el Marco Normativo y Conceptual; la Parte II expone el Diagnóstico Integral de la Infraestructura; la Parte III enuncia los Retos del Sector; y la Parte IV formula las Apuestas Estratégicas, el Plan Indicativo y el Programa de Inversión.</w:t>
      </w:r>
    </w:p>
    <w:p>
      <w:r>
        <w:br w:type="page"/>
      </w:r>
    </w:p>
    <w:p>
      <w:pPr>
        <w:pStyle w:val="Heading1"/>
      </w:pPr>
      <w:r>
        <w:t>Glosario de Términos y Siglas</w:t>
      </w:r>
    </w:p>
    <w:p>
      <w:pPr>
        <w:jc w:val="both"/>
      </w:pPr>
      <w:r>
        <w:rPr>
          <w:rFonts w:ascii="Times New Roman" w:hAnsi="Times New Roman"/>
          <w:b w:val="0"/>
          <w:i w:val="0"/>
          <w:color w:val="000000"/>
          <w:sz w:val="22"/>
        </w:rPr>
        <w:t>La siguiente tabla compila las siglas y términos técnicos empleados a lo largo del documento con sus definiciones operativas y referencias normativas. Esta sección cumple con el requisito de la NTC 6705:2023 numeral 3.1 sobre claridad terminológica.</w:t>
      </w:r>
    </w:p>
    <w:p>
      <w:pPr>
        <w:jc w:val="both"/>
      </w:pPr>
      <w:r>
        <w:rPr>
          <w:rFonts w:ascii="Times New Roman" w:hAnsi="Times New Roman"/>
          <w:b w:val="0"/>
          <w:i/>
          <w:color w:val="0F4761"/>
          <w:sz w:val="20"/>
        </w:rPr>
        <w:t>Tabla 25. Glosario consolidado de términos y siglas empleados en el PMIE 2026.</w:t>
      </w:r>
    </w:p>
    <w:tbl>
      <w:tblPr>
        <w:tblStyle w:val="LightGrid-Accent1"/>
        <w:tblW w:type="auto" w:w="0"/>
        <w:tblLook w:firstColumn="1" w:firstRow="1" w:lastColumn="0" w:lastRow="0" w:noHBand="0" w:noVBand="1" w:val="04A0"/>
      </w:tblPr>
      <w:tblGrid>
        <w:gridCol w:w="4561"/>
        <w:gridCol w:w="4561"/>
      </w:tblGrid>
      <w:tr>
        <w:tc>
          <w:tcPr>
            <w:tcW w:type="dxa" w:w="1984"/>
            <w:shd w:val="clear" w:color="auto" w:fill="0F4761"/>
            <w:vAlign w:val="center"/>
          </w:tcPr>
          <w:p>
            <w:pPr>
              <w:jc w:val="center"/>
            </w:pPr>
            <w:r/>
            <w:r>
              <w:rPr>
                <w:rFonts w:ascii="Times New Roman" w:hAnsi="Times New Roman"/>
                <w:b/>
                <w:color w:val="FFFFFF"/>
                <w:sz w:val="20"/>
              </w:rPr>
              <w:t>Sigla / Término</w:t>
            </w:r>
          </w:p>
        </w:tc>
        <w:tc>
          <w:tcPr>
            <w:tcW w:type="dxa" w:w="7370"/>
            <w:shd w:val="clear" w:color="auto" w:fill="0F4761"/>
            <w:vAlign w:val="center"/>
          </w:tcPr>
          <w:p>
            <w:pPr>
              <w:jc w:val="center"/>
            </w:pPr>
            <w:r/>
            <w:r>
              <w:rPr>
                <w:rFonts w:ascii="Times New Roman" w:hAnsi="Times New Roman"/>
                <w:b/>
                <w:color w:val="FFFFFF"/>
                <w:sz w:val="20"/>
              </w:rPr>
              <w:t>Definición</w:t>
            </w:r>
          </w:p>
        </w:tc>
      </w:tr>
      <w:tr>
        <w:tc>
          <w:tcPr>
            <w:tcW w:type="dxa" w:w="1984"/>
            <w:vAlign w:val="center"/>
          </w:tcPr>
          <w:p>
            <w:pPr>
              <w:jc w:val="left"/>
            </w:pPr>
            <w:r/>
            <w:r>
              <w:rPr>
                <w:rFonts w:ascii="Times New Roman" w:hAnsi="Times New Roman"/>
                <w:b w:val="0"/>
                <w:color w:val="000000"/>
                <w:sz w:val="20"/>
              </w:rPr>
              <w:t>BC</w:t>
            </w:r>
          </w:p>
        </w:tc>
        <w:tc>
          <w:tcPr>
            <w:tcW w:type="dxa" w:w="7370"/>
            <w:vAlign w:val="center"/>
          </w:tcPr>
          <w:p>
            <w:pPr>
              <w:jc w:val="left"/>
            </w:pPr>
            <w:r/>
            <w:r>
              <w:rPr>
                <w:rFonts w:ascii="Times New Roman" w:hAnsi="Times New Roman"/>
                <w:b w:val="0"/>
                <w:color w:val="000000"/>
                <w:sz w:val="20"/>
              </w:rPr>
              <w:t>Brecha Consolidada: suma de la Brecha Funcional (BF) y la Brecha Estructural (BE) para una sede. Unidad: COP.</w:t>
            </w:r>
          </w:p>
        </w:tc>
      </w:tr>
      <w:tr>
        <w:tc>
          <w:tcPr>
            <w:tcW w:type="dxa" w:w="1984"/>
            <w:vAlign w:val="center"/>
          </w:tcPr>
          <w:p>
            <w:pPr>
              <w:jc w:val="left"/>
            </w:pPr>
            <w:r/>
            <w:r>
              <w:rPr>
                <w:rFonts w:ascii="Times New Roman" w:hAnsi="Times New Roman"/>
                <w:b w:val="0"/>
                <w:color w:val="000000"/>
                <w:sz w:val="20"/>
              </w:rPr>
              <w:t>BE</w:t>
            </w:r>
          </w:p>
        </w:tc>
        <w:tc>
          <w:tcPr>
            <w:tcW w:type="dxa" w:w="7370"/>
            <w:vAlign w:val="center"/>
          </w:tcPr>
          <w:p>
            <w:pPr>
              <w:jc w:val="left"/>
            </w:pPr>
            <w:r/>
            <w:r>
              <w:rPr>
                <w:rFonts w:ascii="Times New Roman" w:hAnsi="Times New Roman"/>
                <w:b w:val="0"/>
                <w:color w:val="000000"/>
                <w:sz w:val="20"/>
              </w:rPr>
              <w:t>Brecha Estructural: costo estimado del refuerzo NSR-10 requerido para llevar la sede al cumplimiento sismo-resistente bajo el escenario Sismo de Diseño (Aa=0,25g).</w:t>
            </w:r>
          </w:p>
        </w:tc>
      </w:tr>
      <w:tr>
        <w:tc>
          <w:tcPr>
            <w:tcW w:type="dxa" w:w="1984"/>
            <w:vAlign w:val="center"/>
          </w:tcPr>
          <w:p>
            <w:pPr>
              <w:jc w:val="left"/>
            </w:pPr>
            <w:r/>
            <w:r>
              <w:rPr>
                <w:rFonts w:ascii="Times New Roman" w:hAnsi="Times New Roman"/>
                <w:b w:val="0"/>
                <w:color w:val="000000"/>
                <w:sz w:val="20"/>
              </w:rPr>
              <w:t>BF</w:t>
            </w:r>
          </w:p>
        </w:tc>
        <w:tc>
          <w:tcPr>
            <w:tcW w:type="dxa" w:w="7370"/>
            <w:vAlign w:val="center"/>
          </w:tcPr>
          <w:p>
            <w:pPr>
              <w:jc w:val="left"/>
            </w:pPr>
            <w:r/>
            <w:r>
              <w:rPr>
                <w:rFonts w:ascii="Times New Roman" w:hAnsi="Times New Roman"/>
                <w:b w:val="0"/>
                <w:color w:val="000000"/>
                <w:sz w:val="20"/>
              </w:rPr>
              <w:t>Brecha Funcional: costo estimado de las intervenciones requeridas para que la sede cumpla la NTC 4595 (adecuaciones por calificación + ampliaciones de área).</w:t>
            </w:r>
          </w:p>
        </w:tc>
      </w:tr>
      <w:tr>
        <w:tc>
          <w:tcPr>
            <w:tcW w:type="dxa" w:w="1984"/>
            <w:vAlign w:val="center"/>
          </w:tcPr>
          <w:p>
            <w:pPr>
              <w:jc w:val="left"/>
            </w:pPr>
            <w:r/>
            <w:r>
              <w:rPr>
                <w:rFonts w:ascii="Times New Roman" w:hAnsi="Times New Roman"/>
                <w:b w:val="0"/>
                <w:color w:val="000000"/>
                <w:sz w:val="20"/>
              </w:rPr>
              <w:t>CDI</w:t>
            </w:r>
          </w:p>
        </w:tc>
        <w:tc>
          <w:tcPr>
            <w:tcW w:type="dxa" w:w="7370"/>
            <w:vAlign w:val="center"/>
          </w:tcPr>
          <w:p>
            <w:pPr>
              <w:jc w:val="left"/>
            </w:pPr>
            <w:r/>
            <w:r>
              <w:rPr>
                <w:rFonts w:ascii="Times New Roman" w:hAnsi="Times New Roman"/>
                <w:b w:val="0"/>
                <w:color w:val="000000"/>
                <w:sz w:val="20"/>
              </w:rPr>
              <w:t>Centros de Desarrollo Infantil. Excluidos del PMIE 2026 por estar administrados por el Instituto Colombiano de Bienestar Familiar (ICBF).</w:t>
            </w:r>
          </w:p>
        </w:tc>
      </w:tr>
      <w:tr>
        <w:tc>
          <w:tcPr>
            <w:tcW w:type="dxa" w:w="1984"/>
            <w:vAlign w:val="center"/>
          </w:tcPr>
          <w:p>
            <w:pPr>
              <w:jc w:val="left"/>
            </w:pPr>
            <w:r/>
            <w:r>
              <w:rPr>
                <w:rFonts w:ascii="Times New Roman" w:hAnsi="Times New Roman"/>
                <w:b w:val="0"/>
                <w:color w:val="000000"/>
                <w:sz w:val="20"/>
              </w:rPr>
              <w:t>FFIE</w:t>
            </w:r>
          </w:p>
        </w:tc>
        <w:tc>
          <w:tcPr>
            <w:tcW w:type="dxa" w:w="7370"/>
            <w:vAlign w:val="center"/>
          </w:tcPr>
          <w:p>
            <w:pPr>
              <w:jc w:val="left"/>
            </w:pPr>
            <w:r/>
            <w:r>
              <w:rPr>
                <w:rFonts w:ascii="Times New Roman" w:hAnsi="Times New Roman"/>
                <w:b w:val="0"/>
                <w:color w:val="000000"/>
                <w:sz w:val="20"/>
              </w:rPr>
              <w:t>Fondo de Financiamiento de la Infraestructura Educativa — administrado por el Ministerio de Educación Nacional.</w:t>
            </w:r>
          </w:p>
        </w:tc>
      </w:tr>
      <w:tr>
        <w:tc>
          <w:tcPr>
            <w:tcW w:type="dxa" w:w="1984"/>
            <w:vAlign w:val="center"/>
          </w:tcPr>
          <w:p>
            <w:pPr>
              <w:jc w:val="left"/>
            </w:pPr>
            <w:r/>
            <w:r>
              <w:rPr>
                <w:rFonts w:ascii="Times New Roman" w:hAnsi="Times New Roman"/>
                <w:b w:val="0"/>
                <w:color w:val="000000"/>
                <w:sz w:val="20"/>
              </w:rPr>
              <w:t>IEO</w:t>
            </w:r>
          </w:p>
        </w:tc>
        <w:tc>
          <w:tcPr>
            <w:tcW w:type="dxa" w:w="7370"/>
            <w:vAlign w:val="center"/>
          </w:tcPr>
          <w:p>
            <w:pPr>
              <w:jc w:val="left"/>
            </w:pPr>
            <w:r/>
            <w:r>
              <w:rPr>
                <w:rFonts w:ascii="Times New Roman" w:hAnsi="Times New Roman"/>
                <w:b w:val="0"/>
                <w:color w:val="000000"/>
                <w:sz w:val="20"/>
              </w:rPr>
              <w:t>Institución Educativa Oficial. Establecimiento educativo del sector oficial bajo administración de la Secretaría de Educación Distrital.</w:t>
            </w:r>
          </w:p>
        </w:tc>
      </w:tr>
      <w:tr>
        <w:tc>
          <w:tcPr>
            <w:tcW w:type="dxa" w:w="1984"/>
            <w:vAlign w:val="center"/>
          </w:tcPr>
          <w:p>
            <w:pPr>
              <w:jc w:val="left"/>
            </w:pPr>
            <w:r/>
            <w:r>
              <w:rPr>
                <w:rFonts w:ascii="Times New Roman" w:hAnsi="Times New Roman"/>
                <w:b w:val="0"/>
                <w:color w:val="000000"/>
                <w:sz w:val="20"/>
              </w:rPr>
              <w:t>Índice NTC 4595</w:t>
            </w:r>
          </w:p>
        </w:tc>
        <w:tc>
          <w:tcPr>
            <w:tcW w:type="dxa" w:w="7370"/>
            <w:vAlign w:val="center"/>
          </w:tcPr>
          <w:p>
            <w:pPr>
              <w:jc w:val="left"/>
            </w:pPr>
            <w:r/>
            <w:r>
              <w:rPr>
                <w:rFonts w:ascii="Times New Roman" w:hAnsi="Times New Roman"/>
                <w:b w:val="0"/>
                <w:color w:val="000000"/>
                <w:sz w:val="20"/>
              </w:rPr>
              <w:t>Indicador sintético de cumplimiento del programa arquitectónico escolar; combina existencia, área y calificación de calidad de 23 tipologías de espacios. Escala 0–1.</w:t>
            </w:r>
          </w:p>
        </w:tc>
      </w:tr>
      <w:tr>
        <w:tc>
          <w:tcPr>
            <w:tcW w:type="dxa" w:w="1984"/>
            <w:vAlign w:val="center"/>
          </w:tcPr>
          <w:p>
            <w:pPr>
              <w:jc w:val="left"/>
            </w:pPr>
            <w:r/>
            <w:r>
              <w:rPr>
                <w:rFonts w:ascii="Times New Roman" w:hAnsi="Times New Roman"/>
                <w:b w:val="0"/>
                <w:color w:val="000000"/>
                <w:sz w:val="20"/>
              </w:rPr>
              <w:t>IPC</w:t>
            </w:r>
          </w:p>
        </w:tc>
        <w:tc>
          <w:tcPr>
            <w:tcW w:type="dxa" w:w="7370"/>
            <w:vAlign w:val="center"/>
          </w:tcPr>
          <w:p>
            <w:pPr>
              <w:jc w:val="left"/>
            </w:pPr>
            <w:r/>
            <w:r>
              <w:rPr>
                <w:rFonts w:ascii="Times New Roman" w:hAnsi="Times New Roman"/>
                <w:b w:val="0"/>
                <w:color w:val="000000"/>
                <w:sz w:val="20"/>
              </w:rPr>
              <w:t>Índice de Precios al Consumidor. Factor de ajuste anual aplicado a costos unitarios (PMIE 2026 emplea IPC=1,04 sobre el año base de costos).</w:t>
            </w:r>
          </w:p>
        </w:tc>
      </w:tr>
      <w:tr>
        <w:tc>
          <w:tcPr>
            <w:tcW w:type="dxa" w:w="1984"/>
            <w:vAlign w:val="center"/>
          </w:tcPr>
          <w:p>
            <w:pPr>
              <w:jc w:val="left"/>
            </w:pPr>
            <w:r/>
            <w:r>
              <w:rPr>
                <w:rFonts w:ascii="Times New Roman" w:hAnsi="Times New Roman"/>
                <w:b w:val="0"/>
                <w:color w:val="000000"/>
                <w:sz w:val="20"/>
              </w:rPr>
              <w:t>MCDE-T</w:t>
            </w:r>
          </w:p>
        </w:tc>
        <w:tc>
          <w:tcPr>
            <w:tcW w:type="dxa" w:w="7370"/>
            <w:vAlign w:val="center"/>
          </w:tcPr>
          <w:p>
            <w:pPr>
              <w:jc w:val="left"/>
            </w:pPr>
            <w:r/>
            <w:r>
              <w:rPr>
                <w:rFonts w:ascii="Times New Roman" w:hAnsi="Times New Roman"/>
                <w:b w:val="0"/>
                <w:color w:val="000000"/>
                <w:sz w:val="20"/>
              </w:rPr>
              <w:t>Modelo de Cohortes Demográfico-Educativo Territorial. Modelo de proyección de matrícula por sede y nivel educativo.</w:t>
            </w:r>
          </w:p>
        </w:tc>
      </w:tr>
      <w:tr>
        <w:tc>
          <w:tcPr>
            <w:tcW w:type="dxa" w:w="1984"/>
            <w:vAlign w:val="center"/>
          </w:tcPr>
          <w:p>
            <w:pPr>
              <w:jc w:val="left"/>
            </w:pPr>
            <w:r/>
            <w:r>
              <w:rPr>
                <w:rFonts w:ascii="Times New Roman" w:hAnsi="Times New Roman"/>
                <w:b w:val="0"/>
                <w:color w:val="000000"/>
                <w:sz w:val="20"/>
              </w:rPr>
              <w:t>MEN</w:t>
            </w:r>
          </w:p>
        </w:tc>
        <w:tc>
          <w:tcPr>
            <w:tcW w:type="dxa" w:w="7370"/>
            <w:vAlign w:val="center"/>
          </w:tcPr>
          <w:p>
            <w:pPr>
              <w:jc w:val="left"/>
            </w:pPr>
            <w:r/>
            <w:r>
              <w:rPr>
                <w:rFonts w:ascii="Times New Roman" w:hAnsi="Times New Roman"/>
                <w:b w:val="0"/>
                <w:color w:val="000000"/>
                <w:sz w:val="20"/>
              </w:rPr>
              <w:t>Ministerio de Educación Nacional.</w:t>
            </w:r>
          </w:p>
        </w:tc>
      </w:tr>
      <w:tr>
        <w:tc>
          <w:tcPr>
            <w:tcW w:type="dxa" w:w="1984"/>
            <w:vAlign w:val="center"/>
          </w:tcPr>
          <w:p>
            <w:pPr>
              <w:jc w:val="left"/>
            </w:pPr>
            <w:r/>
            <w:r>
              <w:rPr>
                <w:rFonts w:ascii="Times New Roman" w:hAnsi="Times New Roman"/>
                <w:b w:val="0"/>
                <w:color w:val="000000"/>
                <w:sz w:val="20"/>
              </w:rPr>
              <w:t>MEP</w:t>
            </w:r>
          </w:p>
        </w:tc>
        <w:tc>
          <w:tcPr>
            <w:tcW w:type="dxa" w:w="7370"/>
            <w:vAlign w:val="center"/>
          </w:tcPr>
          <w:p>
            <w:pPr>
              <w:jc w:val="left"/>
            </w:pPr>
            <w:r/>
            <w:r>
              <w:rPr>
                <w:rFonts w:ascii="Times New Roman" w:hAnsi="Times New Roman"/>
                <w:b w:val="0"/>
                <w:color w:val="000000"/>
                <w:sz w:val="20"/>
              </w:rPr>
              <w:t>Módulos Educativos Prefabricados — solución transitoria para sedes en proceso de reconstrucción.</w:t>
            </w:r>
          </w:p>
        </w:tc>
      </w:tr>
      <w:tr>
        <w:tc>
          <w:tcPr>
            <w:tcW w:type="dxa" w:w="1984"/>
            <w:vAlign w:val="center"/>
          </w:tcPr>
          <w:p>
            <w:pPr>
              <w:jc w:val="left"/>
            </w:pPr>
            <w:r/>
            <w:r>
              <w:rPr>
                <w:rFonts w:ascii="Times New Roman" w:hAnsi="Times New Roman"/>
                <w:b w:val="0"/>
                <w:color w:val="000000"/>
                <w:sz w:val="20"/>
              </w:rPr>
              <w:t>NSR-10</w:t>
            </w:r>
          </w:p>
        </w:tc>
        <w:tc>
          <w:tcPr>
            <w:tcW w:type="dxa" w:w="7370"/>
            <w:vAlign w:val="center"/>
          </w:tcPr>
          <w:p>
            <w:pPr>
              <w:jc w:val="left"/>
            </w:pPr>
            <w:r/>
            <w:r>
              <w:rPr>
                <w:rFonts w:ascii="Times New Roman" w:hAnsi="Times New Roman"/>
                <w:b w:val="0"/>
                <w:color w:val="000000"/>
                <w:sz w:val="20"/>
              </w:rPr>
              <w:t>Reglamento Colombiano de Construcción Sismo Resistente (Decreto 926 de 2010). Clasifica las edificaciones escolares como Uso Esencial del Grupo IV de Importancia.</w:t>
            </w:r>
          </w:p>
        </w:tc>
      </w:tr>
      <w:tr>
        <w:tc>
          <w:tcPr>
            <w:tcW w:type="dxa" w:w="1984"/>
            <w:vAlign w:val="center"/>
          </w:tcPr>
          <w:p>
            <w:pPr>
              <w:jc w:val="left"/>
            </w:pPr>
            <w:r/>
            <w:r>
              <w:rPr>
                <w:rFonts w:ascii="Times New Roman" w:hAnsi="Times New Roman"/>
                <w:b w:val="0"/>
                <w:color w:val="000000"/>
                <w:sz w:val="20"/>
              </w:rPr>
              <w:t>NTC 4595</w:t>
            </w:r>
          </w:p>
        </w:tc>
        <w:tc>
          <w:tcPr>
            <w:tcW w:type="dxa" w:w="7370"/>
            <w:vAlign w:val="center"/>
          </w:tcPr>
          <w:p>
            <w:pPr>
              <w:jc w:val="left"/>
            </w:pPr>
            <w:r/>
            <w:r>
              <w:rPr>
                <w:rFonts w:ascii="Times New Roman" w:hAnsi="Times New Roman"/>
                <w:b w:val="0"/>
                <w:color w:val="000000"/>
                <w:sz w:val="20"/>
              </w:rPr>
              <w:t>Norma Técnica Colombiana — Planeamiento y Diseño de Instalaciones y Ambientes Escolares. Establece estándares de área, accesibilidad, habitabilidad e iluminación.</w:t>
            </w:r>
          </w:p>
        </w:tc>
      </w:tr>
      <w:tr>
        <w:tc>
          <w:tcPr>
            <w:tcW w:type="dxa" w:w="1984"/>
            <w:vAlign w:val="center"/>
          </w:tcPr>
          <w:p>
            <w:pPr>
              <w:jc w:val="left"/>
            </w:pPr>
            <w:r/>
            <w:r>
              <w:rPr>
                <w:rFonts w:ascii="Times New Roman" w:hAnsi="Times New Roman"/>
                <w:b w:val="0"/>
                <w:color w:val="000000"/>
                <w:sz w:val="20"/>
              </w:rPr>
              <w:t>NTC 6705:2023</w:t>
            </w:r>
          </w:p>
        </w:tc>
        <w:tc>
          <w:tcPr>
            <w:tcW w:type="dxa" w:w="7370"/>
            <w:vAlign w:val="center"/>
          </w:tcPr>
          <w:p>
            <w:pPr>
              <w:jc w:val="left"/>
            </w:pPr>
            <w:r/>
            <w:r>
              <w:rPr>
                <w:rFonts w:ascii="Times New Roman" w:hAnsi="Times New Roman"/>
                <w:b w:val="0"/>
                <w:color w:val="000000"/>
                <w:sz w:val="20"/>
              </w:rPr>
              <w:t>Norma Técnica Colombiana para la Elaboración de Planes Maestros de Infraestructura Educativa. Estructura el proceso en cuatro fases (Diagnóstico, Análisis, Formulación, Implementación).</w:t>
            </w:r>
          </w:p>
        </w:tc>
      </w:tr>
      <w:tr>
        <w:tc>
          <w:tcPr>
            <w:tcW w:type="dxa" w:w="1984"/>
            <w:vAlign w:val="center"/>
          </w:tcPr>
          <w:p>
            <w:pPr>
              <w:jc w:val="left"/>
            </w:pPr>
            <w:r/>
            <w:r>
              <w:rPr>
                <w:rFonts w:ascii="Times New Roman" w:hAnsi="Times New Roman"/>
                <w:b w:val="0"/>
                <w:color w:val="000000"/>
                <w:sz w:val="20"/>
              </w:rPr>
              <w:t>PMIE</w:t>
            </w:r>
          </w:p>
        </w:tc>
        <w:tc>
          <w:tcPr>
            <w:tcW w:type="dxa" w:w="7370"/>
            <w:vAlign w:val="center"/>
          </w:tcPr>
          <w:p>
            <w:pPr>
              <w:jc w:val="left"/>
            </w:pPr>
            <w:r/>
            <w:r>
              <w:rPr>
                <w:rFonts w:ascii="Times New Roman" w:hAnsi="Times New Roman"/>
                <w:b w:val="0"/>
                <w:color w:val="000000"/>
                <w:sz w:val="20"/>
              </w:rPr>
              <w:t>Plan Maestro de Infraestructura Educativa.</w:t>
            </w:r>
          </w:p>
        </w:tc>
      </w:tr>
      <w:tr>
        <w:tc>
          <w:tcPr>
            <w:tcW w:type="dxa" w:w="1984"/>
            <w:vAlign w:val="center"/>
          </w:tcPr>
          <w:p>
            <w:pPr>
              <w:jc w:val="left"/>
            </w:pPr>
            <w:r/>
            <w:r>
              <w:rPr>
                <w:rFonts w:ascii="Times New Roman" w:hAnsi="Times New Roman"/>
                <w:b w:val="0"/>
                <w:color w:val="000000"/>
                <w:sz w:val="20"/>
              </w:rPr>
              <w:t>POT</w:t>
            </w:r>
          </w:p>
        </w:tc>
        <w:tc>
          <w:tcPr>
            <w:tcW w:type="dxa" w:w="7370"/>
            <w:vAlign w:val="center"/>
          </w:tcPr>
          <w:p>
            <w:pPr>
              <w:jc w:val="left"/>
            </w:pPr>
            <w:r/>
            <w:r>
              <w:rPr>
                <w:rFonts w:ascii="Times New Roman" w:hAnsi="Times New Roman"/>
                <w:b w:val="0"/>
                <w:color w:val="000000"/>
                <w:sz w:val="20"/>
              </w:rPr>
              <w:t>Plan de Ordenamiento Territorial — Distrito de Santiago de Cali. Determina la viabilidad predial de ampliaciones y construcciones nuevas.</w:t>
            </w:r>
          </w:p>
        </w:tc>
      </w:tr>
      <w:tr>
        <w:tc>
          <w:tcPr>
            <w:tcW w:type="dxa" w:w="1984"/>
            <w:vAlign w:val="center"/>
          </w:tcPr>
          <w:p>
            <w:pPr>
              <w:jc w:val="left"/>
            </w:pPr>
            <w:r/>
            <w:r>
              <w:rPr>
                <w:rFonts w:ascii="Times New Roman" w:hAnsi="Times New Roman"/>
                <w:b w:val="0"/>
                <w:color w:val="000000"/>
                <w:sz w:val="20"/>
              </w:rPr>
              <w:t>P1–P8</w:t>
            </w:r>
          </w:p>
        </w:tc>
        <w:tc>
          <w:tcPr>
            <w:tcW w:type="dxa" w:w="7370"/>
            <w:vAlign w:val="center"/>
          </w:tcPr>
          <w:p>
            <w:pPr>
              <w:jc w:val="left"/>
            </w:pPr>
            <w:r/>
            <w:r>
              <w:rPr>
                <w:rFonts w:ascii="Times New Roman" w:hAnsi="Times New Roman"/>
                <w:b w:val="0"/>
                <w:color w:val="000000"/>
                <w:sz w:val="20"/>
              </w:rPr>
              <w:t>Programas oficiales de intervención del PMIE 2026 (ver Tabla 19).</w:t>
            </w:r>
          </w:p>
        </w:tc>
      </w:tr>
      <w:tr>
        <w:tc>
          <w:tcPr>
            <w:tcW w:type="dxa" w:w="1984"/>
            <w:vAlign w:val="center"/>
          </w:tcPr>
          <w:p>
            <w:pPr>
              <w:jc w:val="left"/>
            </w:pPr>
            <w:r/>
            <w:r>
              <w:rPr>
                <w:rFonts w:ascii="Times New Roman" w:hAnsi="Times New Roman"/>
                <w:b w:val="0"/>
                <w:color w:val="000000"/>
                <w:sz w:val="20"/>
              </w:rPr>
              <w:t>Q1–Q5</w:t>
            </w:r>
          </w:p>
        </w:tc>
        <w:tc>
          <w:tcPr>
            <w:tcW w:type="dxa" w:w="7370"/>
            <w:vAlign w:val="center"/>
          </w:tcPr>
          <w:p>
            <w:pPr>
              <w:jc w:val="left"/>
            </w:pPr>
            <w:r/>
            <w:r>
              <w:rPr>
                <w:rFonts w:ascii="Times New Roman" w:hAnsi="Times New Roman"/>
                <w:b w:val="0"/>
                <w:color w:val="000000"/>
                <w:sz w:val="20"/>
              </w:rPr>
              <w:t>Quintiles de eficiencia de inversión por estudiante: Q1=mayor eficiencia (menor BC/Matrícula), Q5=menor eficiencia.</w:t>
            </w:r>
          </w:p>
        </w:tc>
      </w:tr>
      <w:tr>
        <w:tc>
          <w:tcPr>
            <w:tcW w:type="dxa" w:w="1984"/>
            <w:vAlign w:val="center"/>
          </w:tcPr>
          <w:p>
            <w:pPr>
              <w:jc w:val="left"/>
            </w:pPr>
            <w:r/>
            <w:r>
              <w:rPr>
                <w:rFonts w:ascii="Times New Roman" w:hAnsi="Times New Roman"/>
                <w:b w:val="0"/>
                <w:color w:val="000000"/>
                <w:sz w:val="20"/>
              </w:rPr>
              <w:t>SED</w:t>
            </w:r>
          </w:p>
        </w:tc>
        <w:tc>
          <w:tcPr>
            <w:tcW w:type="dxa" w:w="7370"/>
            <w:vAlign w:val="center"/>
          </w:tcPr>
          <w:p>
            <w:pPr>
              <w:jc w:val="left"/>
            </w:pPr>
            <w:r/>
            <w:r>
              <w:rPr>
                <w:rFonts w:ascii="Times New Roman" w:hAnsi="Times New Roman"/>
                <w:b w:val="0"/>
                <w:color w:val="000000"/>
                <w:sz w:val="20"/>
              </w:rPr>
              <w:t>Secretaría de Educación Distrital de Santiago de Cali.</w:t>
            </w:r>
          </w:p>
        </w:tc>
      </w:tr>
      <w:tr>
        <w:tc>
          <w:tcPr>
            <w:tcW w:type="dxa" w:w="1984"/>
            <w:vAlign w:val="center"/>
          </w:tcPr>
          <w:p>
            <w:pPr>
              <w:jc w:val="left"/>
            </w:pPr>
            <w:r/>
            <w:r>
              <w:rPr>
                <w:rFonts w:ascii="Times New Roman" w:hAnsi="Times New Roman"/>
                <w:b w:val="0"/>
                <w:color w:val="000000"/>
                <w:sz w:val="20"/>
              </w:rPr>
              <w:t>SGP</w:t>
            </w:r>
          </w:p>
        </w:tc>
        <w:tc>
          <w:tcPr>
            <w:tcW w:type="dxa" w:w="7370"/>
            <w:vAlign w:val="center"/>
          </w:tcPr>
          <w:p>
            <w:pPr>
              <w:jc w:val="left"/>
            </w:pPr>
            <w:r/>
            <w:r>
              <w:rPr>
                <w:rFonts w:ascii="Times New Roman" w:hAnsi="Times New Roman"/>
                <w:b w:val="0"/>
                <w:color w:val="000000"/>
                <w:sz w:val="20"/>
              </w:rPr>
              <w:t>Sistema General de Participaciones — transferencia nacional para inversión territorial en educación.</w:t>
            </w:r>
          </w:p>
        </w:tc>
      </w:tr>
      <w:tr>
        <w:tc>
          <w:tcPr>
            <w:tcW w:type="dxa" w:w="1984"/>
            <w:vAlign w:val="center"/>
          </w:tcPr>
          <w:p>
            <w:pPr>
              <w:jc w:val="left"/>
            </w:pPr>
            <w:r/>
            <w:r>
              <w:rPr>
                <w:rFonts w:ascii="Times New Roman" w:hAnsi="Times New Roman"/>
                <w:b w:val="0"/>
                <w:color w:val="000000"/>
                <w:sz w:val="20"/>
              </w:rPr>
              <w:t>SIG-PMIE</w:t>
            </w:r>
          </w:p>
        </w:tc>
        <w:tc>
          <w:tcPr>
            <w:tcW w:type="dxa" w:w="7370"/>
            <w:vAlign w:val="center"/>
          </w:tcPr>
          <w:p>
            <w:pPr>
              <w:jc w:val="left"/>
            </w:pPr>
            <w:r/>
            <w:r>
              <w:rPr>
                <w:rFonts w:ascii="Times New Roman" w:hAnsi="Times New Roman"/>
                <w:b w:val="0"/>
                <w:color w:val="000000"/>
                <w:sz w:val="20"/>
              </w:rPr>
              <w:t>Sistema de Información Geográfica del Plan Maestro — Unidad cartográfica de la SED.</w:t>
            </w:r>
          </w:p>
        </w:tc>
      </w:tr>
      <w:tr>
        <w:tc>
          <w:tcPr>
            <w:tcW w:type="dxa" w:w="1984"/>
            <w:vAlign w:val="center"/>
          </w:tcPr>
          <w:p>
            <w:pPr>
              <w:jc w:val="left"/>
            </w:pPr>
            <w:r/>
            <w:r>
              <w:rPr>
                <w:rFonts w:ascii="Times New Roman" w:hAnsi="Times New Roman"/>
                <w:b w:val="0"/>
                <w:color w:val="000000"/>
                <w:sz w:val="20"/>
              </w:rPr>
              <w:t>SIMAT</w:t>
            </w:r>
          </w:p>
        </w:tc>
        <w:tc>
          <w:tcPr>
            <w:tcW w:type="dxa" w:w="7370"/>
            <w:vAlign w:val="center"/>
          </w:tcPr>
          <w:p>
            <w:pPr>
              <w:jc w:val="left"/>
            </w:pPr>
            <w:r/>
            <w:r>
              <w:rPr>
                <w:rFonts w:ascii="Times New Roman" w:hAnsi="Times New Roman"/>
                <w:b w:val="0"/>
                <w:color w:val="000000"/>
                <w:sz w:val="20"/>
              </w:rPr>
              <w:t>Sistema Integrado de Matrícula del MEN. Fuente oficial para la matrícula de los establecimientos educativos.</w:t>
            </w:r>
          </w:p>
        </w:tc>
      </w:tr>
      <w:tr>
        <w:tc>
          <w:tcPr>
            <w:tcW w:type="dxa" w:w="1984"/>
            <w:vAlign w:val="center"/>
          </w:tcPr>
          <w:p>
            <w:pPr>
              <w:jc w:val="left"/>
            </w:pPr>
            <w:r/>
            <w:r>
              <w:rPr>
                <w:rFonts w:ascii="Times New Roman" w:hAnsi="Times New Roman"/>
                <w:b w:val="0"/>
                <w:color w:val="000000"/>
                <w:sz w:val="20"/>
              </w:rPr>
              <w:t>VR</w:t>
            </w:r>
          </w:p>
        </w:tc>
        <w:tc>
          <w:tcPr>
            <w:tcW w:type="dxa" w:w="7370"/>
            <w:vAlign w:val="center"/>
          </w:tcPr>
          <w:p>
            <w:pPr>
              <w:jc w:val="left"/>
            </w:pPr>
            <w:r/>
            <w:r>
              <w:rPr>
                <w:rFonts w:ascii="Times New Roman" w:hAnsi="Times New Roman"/>
                <w:b w:val="0"/>
                <w:color w:val="000000"/>
                <w:sz w:val="20"/>
              </w:rPr>
              <w:t>Valor de Reposición (o Reconstrucción): costo estimado para construir la sede completamente nueva con su área actual, aplicando los costos unitarios de construcción nueva más el 14% de estudios e interventoría.</w:t>
            </w:r>
          </w:p>
        </w:tc>
      </w:tr>
    </w:tbl>
    <w:p>
      <w:r>
        <w:br w:type="page"/>
      </w:r>
    </w:p>
    <w:p>
      <w:pPr>
        <w:jc w:val="center"/>
      </w:pPr>
      <w:r>
        <w:rPr>
          <w:rFonts w:ascii="Times New Roman" w:hAnsi="Times New Roman"/>
          <w:b/>
          <w:color w:val="0F4761"/>
          <w:sz w:val="44"/>
        </w:rPr>
        <w:t>Parte I</w:t>
      </w:r>
    </w:p>
    <w:p>
      <w:pPr>
        <w:jc w:val="center"/>
      </w:pPr>
      <w:r>
        <w:rPr>
          <w:rFonts w:ascii="Times New Roman" w:hAnsi="Times New Roman"/>
          <w:b/>
          <w:color w:val="0F4761"/>
          <w:sz w:val="32"/>
        </w:rPr>
        <w:t>Marco Normativo y Conceptual</w:t>
      </w:r>
    </w:p>
    <w:p/>
    <w:p>
      <w:pPr>
        <w:jc w:val="both"/>
      </w:pPr>
      <w:r>
        <w:rPr>
          <w:rFonts w:ascii="Times New Roman" w:hAnsi="Times New Roman"/>
          <w:b w:val="0"/>
          <w:i w:val="0"/>
          <w:color w:val="000000"/>
          <w:sz w:val="22"/>
        </w:rPr>
        <w:t>La Parte I del Plan establece el sustento jurídico, normativo, técnico y conceptual que orienta la formulación del PMIE 2026. Compila las normas nacionales, internacionales y distritales aplicables, el marco programático del Distrito, y las cuatro dimensiones de análisis del diagnóstico (estructural, funcional, capacidad, eficiencia) que estructuran los capítulos subsiguientes.</w:t>
      </w:r>
    </w:p>
    <w:p>
      <w:r>
        <w:br w:type="page"/>
      </w:r>
    </w:p>
    <w:p>
      <w:pPr>
        <w:pStyle w:val="Heading1"/>
      </w:pPr>
      <w:r>
        <w:t>1. Marco Normativo</w:t>
      </w:r>
    </w:p>
    <w:p>
      <w:pPr>
        <w:pStyle w:val="Heading2"/>
      </w:pPr>
      <w:r>
        <w:t>1.1 Régimen constitucional y legal del servicio educativo</w:t>
      </w:r>
    </w:p>
    <w:p>
      <w:pPr>
        <w:jc w:val="both"/>
      </w:pPr>
      <w:r>
        <w:rPr>
          <w:rFonts w:ascii="Times New Roman" w:hAnsi="Times New Roman"/>
          <w:b w:val="0"/>
          <w:i w:val="0"/>
          <w:color w:val="000000"/>
          <w:sz w:val="22"/>
        </w:rPr>
        <w:t>La Constitución Política de Colombia, en su artículo 67, reconoce la educación como derecho fundamental y servicio público con función social. El artículo 366 establece como objetivo fundamental del Estado el bienestar general y el mejoramiento de la calidad de vida de la población, y prevé que el gasto público social tendrá prioridad sobre cualquier otra asignación. La Ley 115 de 1994 (Ley General de Educación) define los fines de la educación y los niveles del sistema educativo formal: preescolar, básica (primaria y secundaria) y media.</w:t>
      </w:r>
    </w:p>
    <w:p>
      <w:pPr>
        <w:jc w:val="both"/>
      </w:pPr>
      <w:r>
        <w:rPr>
          <w:rFonts w:ascii="Times New Roman" w:hAnsi="Times New Roman"/>
          <w:b w:val="0"/>
          <w:i w:val="0"/>
          <w:color w:val="000000"/>
          <w:sz w:val="22"/>
        </w:rPr>
        <w:t>La Ley 715 de 2001 (artículo 7) asigna a las entidades territoriales certificadas como Santiago de Cali la responsabilidad de administrar el servicio educativo, lo que incluye la planeación, el mejoramiento y el mantenimiento de la infraestructura escolar oficial. El Decreto 1075 de 2015 (Decreto Único Reglamentario del Sector Educativo) compila las disposiciones reglamentarias aplicables, incluida la articulación con los Planes de Desarrollo y Planes de Ordenamiento Territorial.</w:t>
      </w:r>
    </w:p>
    <w:p>
      <w:pPr>
        <w:pStyle w:val="Heading2"/>
      </w:pPr>
      <w:r>
        <w:t>1.2 Normatividad técnica para la infraestructura escolar</w:t>
      </w:r>
    </w:p>
    <w:p>
      <w:pPr>
        <w:jc w:val="both"/>
      </w:pPr>
      <w:r>
        <w:rPr>
          <w:rFonts w:ascii="Times New Roman" w:hAnsi="Times New Roman"/>
          <w:b w:val="0"/>
          <w:i w:val="0"/>
          <w:color w:val="000000"/>
          <w:sz w:val="22"/>
        </w:rPr>
        <w:t>El Reglamento Colombiano de Construcción Sismo Resistente NSR-10 (Decreto 926 de 2010) clasifica las edificaciones escolares como edificaciones de Uso Esencial pertenecientes al Grupo IV de Importancia, lo que les exige un coeficiente de importancia I=1,50. Su Título A.10 establece el procedimiento para la evaluación de la vulnerabilidad sísmica de las edificaciones existentes y fundamenta el diagnóstico estructural del PMIE.</w:t>
      </w:r>
    </w:p>
    <w:p>
      <w:pPr>
        <w:jc w:val="both"/>
      </w:pPr>
      <w:r>
        <w:rPr>
          <w:rFonts w:ascii="Times New Roman" w:hAnsi="Times New Roman"/>
          <w:b w:val="0"/>
          <w:i w:val="0"/>
          <w:color w:val="000000"/>
          <w:sz w:val="22"/>
        </w:rPr>
        <w:t>La Norma Técnica Colombiana NTC 4595 (Planeamiento y diseño de instalaciones y ambientes escolares, en sus distintas actualizaciones desde 2006) establece los requisitos de área, accesibilidad, habitabilidad, ventilación, iluminación y dotación mínima de espacios pedagógicos. Define el estándar de 5,36 m² por estudiante para sedes nuevas y los componentes mínimos del programa arquitectónico escolar.</w:t>
      </w:r>
    </w:p>
    <w:p>
      <w:pPr>
        <w:jc w:val="both"/>
      </w:pPr>
      <w:r>
        <w:rPr>
          <w:rFonts w:ascii="Times New Roman" w:hAnsi="Times New Roman"/>
          <w:b w:val="0"/>
          <w:i w:val="0"/>
          <w:color w:val="000000"/>
          <w:sz w:val="22"/>
        </w:rPr>
        <w:t>La NTC 6705:2023, de adopción más reciente, regula específicamente la elaboración de planes maestros de infraestructura educativa e incorpora criterios contemporáneos de sostenibilidad, resiliencia, accesibilidad universal e integración con políticas territoriales. Las cuatro fases que establece (Diagnóstico, Análisis de Brechas, Formulación, Implementación) estructuran metodológicamente el presente Plan.</w:t>
      </w:r>
    </w:p>
    <w:p>
      <w:pPr>
        <w:pStyle w:val="Heading2"/>
      </w:pPr>
      <w:r>
        <w:t>1.3 Política nacional y reglamentación complementaria</w:t>
      </w:r>
    </w:p>
    <w:p>
      <w:pPr>
        <w:jc w:val="both"/>
      </w:pPr>
      <w:r>
        <w:rPr>
          <w:rFonts w:ascii="Times New Roman" w:hAnsi="Times New Roman"/>
          <w:b w:val="0"/>
          <w:i w:val="0"/>
          <w:color w:val="000000"/>
          <w:sz w:val="22"/>
        </w:rPr>
        <w:t>La Política Nacional de Infraestructura Educativa expedida por el Ministerio de Educación Nacional en 2022 orienta la planeación territorial del sector y establece lineamientos para la priorización, costeo y gestión de las inversiones. La Resolución 21534 de 2017 del MEN regula la operación del Fondo de Financiamiento de la Infraestructura Educativa (FFIE) como mecanismo principal de cofinanciación. El Decreto 1421 de 2017 reglamenta la educación inclusiva con enfoque de discapacidad, lo que se traduce en requisitos técnicos sobre accesibilidad universal que el PMIE debe atender en todas sus intervenciones.</w:t>
      </w:r>
    </w:p>
    <w:p>
      <w:pPr>
        <w:jc w:val="both"/>
      </w:pPr>
      <w:r>
        <w:rPr>
          <w:rFonts w:ascii="Times New Roman" w:hAnsi="Times New Roman"/>
          <w:b w:val="0"/>
          <w:i/>
          <w:color w:val="0F4761"/>
          <w:sz w:val="20"/>
        </w:rPr>
        <w:t>Tabla 2. Marco normativo nacional aplicable al PMIE 2026.</w:t>
      </w:r>
    </w:p>
    <w:tbl>
      <w:tblPr>
        <w:tblStyle w:val="LightGrid-Accent1"/>
        <w:tblW w:type="auto" w:w="0"/>
        <w:tblLook w:firstColumn="1" w:firstRow="1" w:lastColumn="0" w:lastRow="0" w:noHBand="0" w:noVBand="1" w:val="04A0"/>
      </w:tblPr>
      <w:tblGrid>
        <w:gridCol w:w="3041"/>
        <w:gridCol w:w="3041"/>
        <w:gridCol w:w="3041"/>
      </w:tblGrid>
      <w:tr>
        <w:tc>
          <w:tcPr>
            <w:tcW w:type="dxa" w:w="3118"/>
            <w:shd w:val="clear" w:color="auto" w:fill="0F4761"/>
            <w:vAlign w:val="center"/>
          </w:tcPr>
          <w:p>
            <w:pPr>
              <w:jc w:val="center"/>
            </w:pPr>
            <w:r/>
            <w:r>
              <w:rPr>
                <w:rFonts w:ascii="Times New Roman" w:hAnsi="Times New Roman"/>
                <w:b/>
                <w:color w:val="FFFFFF"/>
                <w:sz w:val="20"/>
              </w:rPr>
              <w:t>Norma / Instrumento</w:t>
            </w:r>
          </w:p>
        </w:tc>
        <w:tc>
          <w:tcPr>
            <w:tcW w:type="dxa" w:w="1020"/>
            <w:shd w:val="clear" w:color="auto" w:fill="0F4761"/>
            <w:vAlign w:val="center"/>
          </w:tcPr>
          <w:p>
            <w:pPr>
              <w:jc w:val="center"/>
            </w:pPr>
            <w:r/>
            <w:r>
              <w:rPr>
                <w:rFonts w:ascii="Times New Roman" w:hAnsi="Times New Roman"/>
                <w:b/>
                <w:color w:val="FFFFFF"/>
                <w:sz w:val="20"/>
              </w:rPr>
              <w:t>Año</w:t>
            </w:r>
          </w:p>
        </w:tc>
        <w:tc>
          <w:tcPr>
            <w:tcW w:type="dxa" w:w="5386"/>
            <w:shd w:val="clear" w:color="auto" w:fill="0F4761"/>
            <w:vAlign w:val="center"/>
          </w:tcPr>
          <w:p>
            <w:pPr>
              <w:jc w:val="center"/>
            </w:pPr>
            <w:r/>
            <w:r>
              <w:rPr>
                <w:rFonts w:ascii="Times New Roman" w:hAnsi="Times New Roman"/>
                <w:b/>
                <w:color w:val="FFFFFF"/>
                <w:sz w:val="20"/>
              </w:rPr>
              <w:t>Relevancia para el PMIE</w:t>
            </w:r>
          </w:p>
        </w:tc>
      </w:tr>
      <w:tr>
        <w:tc>
          <w:tcPr>
            <w:tcW w:type="dxa" w:w="3118"/>
            <w:vAlign w:val="center"/>
          </w:tcPr>
          <w:p>
            <w:pPr>
              <w:jc w:val="left"/>
            </w:pPr>
            <w:r/>
            <w:r>
              <w:rPr>
                <w:rFonts w:ascii="Times New Roman" w:hAnsi="Times New Roman"/>
                <w:b w:val="0"/>
                <w:color w:val="000000"/>
                <w:sz w:val="20"/>
              </w:rPr>
              <w:t>Constitución Política · Art. 67</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Educación como derecho fundamental y servicio público.</w:t>
            </w:r>
          </w:p>
        </w:tc>
      </w:tr>
      <w:tr>
        <w:tc>
          <w:tcPr>
            <w:tcW w:type="dxa" w:w="3118"/>
            <w:vAlign w:val="center"/>
          </w:tcPr>
          <w:p>
            <w:pPr>
              <w:jc w:val="left"/>
            </w:pPr>
            <w:r/>
            <w:r>
              <w:rPr>
                <w:rFonts w:ascii="Times New Roman" w:hAnsi="Times New Roman"/>
                <w:b w:val="0"/>
                <w:color w:val="000000"/>
                <w:sz w:val="20"/>
              </w:rPr>
              <w:t>Constitución Política · Art. 366</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Prioridad del gasto público social sobre otras asignaciones.</w:t>
            </w:r>
          </w:p>
        </w:tc>
      </w:tr>
      <w:tr>
        <w:tc>
          <w:tcPr>
            <w:tcW w:type="dxa" w:w="3118"/>
            <w:vAlign w:val="center"/>
          </w:tcPr>
          <w:p>
            <w:pPr>
              <w:jc w:val="left"/>
            </w:pPr>
            <w:r/>
            <w:r>
              <w:rPr>
                <w:rFonts w:ascii="Times New Roman" w:hAnsi="Times New Roman"/>
                <w:b w:val="0"/>
                <w:color w:val="000000"/>
                <w:sz w:val="20"/>
              </w:rPr>
              <w:t>Ley 115 de 1994</w:t>
            </w:r>
          </w:p>
        </w:tc>
        <w:tc>
          <w:tcPr>
            <w:tcW w:type="dxa" w:w="1020"/>
            <w:vAlign w:val="center"/>
          </w:tcPr>
          <w:p>
            <w:pPr>
              <w:jc w:val="right"/>
            </w:pPr>
            <w:r/>
            <w:r>
              <w:rPr>
                <w:rFonts w:ascii="Times New Roman" w:hAnsi="Times New Roman"/>
                <w:b w:val="0"/>
                <w:color w:val="000000"/>
                <w:sz w:val="20"/>
              </w:rPr>
              <w:t>1994</w:t>
            </w:r>
          </w:p>
        </w:tc>
        <w:tc>
          <w:tcPr>
            <w:tcW w:type="dxa" w:w="5386"/>
            <w:vAlign w:val="center"/>
          </w:tcPr>
          <w:p>
            <w:pPr>
              <w:jc w:val="left"/>
            </w:pPr>
            <w:r/>
            <w:r>
              <w:rPr>
                <w:rFonts w:ascii="Times New Roman" w:hAnsi="Times New Roman"/>
                <w:b w:val="0"/>
                <w:color w:val="000000"/>
                <w:sz w:val="20"/>
              </w:rPr>
              <w:t>Ley General de Educación — fines y niveles del sistema.</w:t>
            </w:r>
          </w:p>
        </w:tc>
      </w:tr>
      <w:tr>
        <w:tc>
          <w:tcPr>
            <w:tcW w:type="dxa" w:w="3118"/>
            <w:vAlign w:val="center"/>
          </w:tcPr>
          <w:p>
            <w:pPr>
              <w:jc w:val="left"/>
            </w:pPr>
            <w:r/>
            <w:r>
              <w:rPr>
                <w:rFonts w:ascii="Times New Roman" w:hAnsi="Times New Roman"/>
                <w:b w:val="0"/>
                <w:color w:val="000000"/>
                <w:sz w:val="20"/>
              </w:rPr>
              <w:t>Ley 715 de 2001</w:t>
            </w:r>
          </w:p>
        </w:tc>
        <w:tc>
          <w:tcPr>
            <w:tcW w:type="dxa" w:w="1020"/>
            <w:vAlign w:val="center"/>
          </w:tcPr>
          <w:p>
            <w:pPr>
              <w:jc w:val="right"/>
            </w:pPr>
            <w:r/>
            <w:r>
              <w:rPr>
                <w:rFonts w:ascii="Times New Roman" w:hAnsi="Times New Roman"/>
                <w:b w:val="0"/>
                <w:color w:val="000000"/>
                <w:sz w:val="20"/>
              </w:rPr>
              <w:t>2001</w:t>
            </w:r>
          </w:p>
        </w:tc>
        <w:tc>
          <w:tcPr>
            <w:tcW w:type="dxa" w:w="5386"/>
            <w:vAlign w:val="center"/>
          </w:tcPr>
          <w:p>
            <w:pPr>
              <w:jc w:val="left"/>
            </w:pPr>
            <w:r/>
            <w:r>
              <w:rPr>
                <w:rFonts w:ascii="Times New Roman" w:hAnsi="Times New Roman"/>
                <w:b w:val="0"/>
                <w:color w:val="000000"/>
                <w:sz w:val="20"/>
              </w:rPr>
              <w:t>Responsabilidad distrital de administrar el servicio educativo.</w:t>
            </w:r>
          </w:p>
        </w:tc>
      </w:tr>
      <w:tr>
        <w:tc>
          <w:tcPr>
            <w:tcW w:type="dxa" w:w="3118"/>
            <w:vAlign w:val="center"/>
          </w:tcPr>
          <w:p>
            <w:pPr>
              <w:jc w:val="left"/>
            </w:pPr>
            <w:r/>
            <w:r>
              <w:rPr>
                <w:rFonts w:ascii="Times New Roman" w:hAnsi="Times New Roman"/>
                <w:b w:val="0"/>
                <w:color w:val="000000"/>
                <w:sz w:val="20"/>
              </w:rPr>
              <w:t>Ley 388 de 1997</w:t>
            </w:r>
          </w:p>
        </w:tc>
        <w:tc>
          <w:tcPr>
            <w:tcW w:type="dxa" w:w="1020"/>
            <w:vAlign w:val="center"/>
          </w:tcPr>
          <w:p>
            <w:pPr>
              <w:jc w:val="right"/>
            </w:pPr>
            <w:r/>
            <w:r>
              <w:rPr>
                <w:rFonts w:ascii="Times New Roman" w:hAnsi="Times New Roman"/>
                <w:b w:val="0"/>
                <w:color w:val="000000"/>
                <w:sz w:val="20"/>
              </w:rPr>
              <w:t>1997</w:t>
            </w:r>
          </w:p>
        </w:tc>
        <w:tc>
          <w:tcPr>
            <w:tcW w:type="dxa" w:w="5386"/>
            <w:vAlign w:val="center"/>
          </w:tcPr>
          <w:p>
            <w:pPr>
              <w:jc w:val="left"/>
            </w:pPr>
            <w:r/>
            <w:r>
              <w:rPr>
                <w:rFonts w:ascii="Times New Roman" w:hAnsi="Times New Roman"/>
                <w:b w:val="0"/>
                <w:color w:val="000000"/>
                <w:sz w:val="20"/>
              </w:rPr>
              <w:t>Ley de Desarrollo Territorial — gestión predial.</w:t>
            </w:r>
          </w:p>
        </w:tc>
      </w:tr>
      <w:tr>
        <w:tc>
          <w:tcPr>
            <w:tcW w:type="dxa" w:w="3118"/>
            <w:vAlign w:val="center"/>
          </w:tcPr>
          <w:p>
            <w:pPr>
              <w:jc w:val="left"/>
            </w:pPr>
            <w:r/>
            <w:r>
              <w:rPr>
                <w:rFonts w:ascii="Times New Roman" w:hAnsi="Times New Roman"/>
                <w:b w:val="0"/>
                <w:color w:val="000000"/>
                <w:sz w:val="20"/>
              </w:rPr>
              <w:t>NSR-10 (Decreto 926 de 2010)</w:t>
            </w:r>
          </w:p>
        </w:tc>
        <w:tc>
          <w:tcPr>
            <w:tcW w:type="dxa" w:w="1020"/>
            <w:vAlign w:val="center"/>
          </w:tcPr>
          <w:p>
            <w:pPr>
              <w:jc w:val="right"/>
            </w:pPr>
            <w:r/>
            <w:r>
              <w:rPr>
                <w:rFonts w:ascii="Times New Roman" w:hAnsi="Times New Roman"/>
                <w:b w:val="0"/>
                <w:color w:val="000000"/>
                <w:sz w:val="20"/>
              </w:rPr>
              <w:t>2010</w:t>
            </w:r>
          </w:p>
        </w:tc>
        <w:tc>
          <w:tcPr>
            <w:tcW w:type="dxa" w:w="5386"/>
            <w:vAlign w:val="center"/>
          </w:tcPr>
          <w:p>
            <w:pPr>
              <w:jc w:val="left"/>
            </w:pPr>
            <w:r/>
            <w:r>
              <w:rPr>
                <w:rFonts w:ascii="Times New Roman" w:hAnsi="Times New Roman"/>
                <w:b w:val="0"/>
                <w:color w:val="000000"/>
                <w:sz w:val="20"/>
              </w:rPr>
              <w:t>Requisitos sismo-resistentes; escuelas como Uso Esencial Grupo IV.</w:t>
            </w:r>
          </w:p>
        </w:tc>
      </w:tr>
      <w:tr>
        <w:tc>
          <w:tcPr>
            <w:tcW w:type="dxa" w:w="3118"/>
            <w:vAlign w:val="center"/>
          </w:tcPr>
          <w:p>
            <w:pPr>
              <w:jc w:val="left"/>
            </w:pPr>
            <w:r/>
            <w:r>
              <w:rPr>
                <w:rFonts w:ascii="Times New Roman" w:hAnsi="Times New Roman"/>
                <w:b w:val="0"/>
                <w:color w:val="000000"/>
                <w:sz w:val="20"/>
              </w:rPr>
              <w:t>NTC 4595</w:t>
            </w:r>
          </w:p>
        </w:tc>
        <w:tc>
          <w:tcPr>
            <w:tcW w:type="dxa" w:w="1020"/>
            <w:vAlign w:val="center"/>
          </w:tcPr>
          <w:p>
            <w:pPr>
              <w:jc w:val="left"/>
            </w:pPr>
            <w:r/>
            <w:r>
              <w:rPr>
                <w:rFonts w:ascii="Times New Roman" w:hAnsi="Times New Roman"/>
                <w:b w:val="0"/>
                <w:color w:val="000000"/>
                <w:sz w:val="20"/>
              </w:rPr>
              <w:t>2006/actual.</w:t>
            </w:r>
          </w:p>
        </w:tc>
        <w:tc>
          <w:tcPr>
            <w:tcW w:type="dxa" w:w="5386"/>
            <w:vAlign w:val="center"/>
          </w:tcPr>
          <w:p>
            <w:pPr>
              <w:jc w:val="left"/>
            </w:pPr>
            <w:r/>
            <w:r>
              <w:rPr>
                <w:rFonts w:ascii="Times New Roman" w:hAnsi="Times New Roman"/>
                <w:b w:val="0"/>
                <w:color w:val="000000"/>
                <w:sz w:val="20"/>
              </w:rPr>
              <w:t>Planeamiento y diseño de instalaciones escolares (5,36 m²/est).</w:t>
            </w:r>
          </w:p>
        </w:tc>
      </w:tr>
      <w:tr>
        <w:tc>
          <w:tcPr>
            <w:tcW w:type="dxa" w:w="3118"/>
            <w:vAlign w:val="center"/>
          </w:tcPr>
          <w:p>
            <w:pPr>
              <w:jc w:val="left"/>
            </w:pPr>
            <w:r/>
            <w:r>
              <w:rPr>
                <w:rFonts w:ascii="Times New Roman" w:hAnsi="Times New Roman"/>
                <w:b w:val="0"/>
                <w:color w:val="000000"/>
                <w:sz w:val="20"/>
              </w:rPr>
              <w:t>NTC 6705</w:t>
            </w:r>
          </w:p>
        </w:tc>
        <w:tc>
          <w:tcPr>
            <w:tcW w:type="dxa" w:w="1020"/>
            <w:vAlign w:val="center"/>
          </w:tcPr>
          <w:p>
            <w:pPr>
              <w:jc w:val="right"/>
            </w:pPr>
            <w:r/>
            <w:r>
              <w:rPr>
                <w:rFonts w:ascii="Times New Roman" w:hAnsi="Times New Roman"/>
                <w:b w:val="0"/>
                <w:color w:val="000000"/>
                <w:sz w:val="20"/>
              </w:rPr>
              <w:t>2023</w:t>
            </w:r>
          </w:p>
        </w:tc>
        <w:tc>
          <w:tcPr>
            <w:tcW w:type="dxa" w:w="5386"/>
            <w:vAlign w:val="center"/>
          </w:tcPr>
          <w:p>
            <w:pPr>
              <w:jc w:val="left"/>
            </w:pPr>
            <w:r/>
            <w:r>
              <w:rPr>
                <w:rFonts w:ascii="Times New Roman" w:hAnsi="Times New Roman"/>
                <w:b w:val="0"/>
                <w:color w:val="000000"/>
                <w:sz w:val="20"/>
              </w:rPr>
              <w:t>Norma para la elaboración de planes maestros de infraestructura educativa.</w:t>
            </w:r>
          </w:p>
        </w:tc>
      </w:tr>
      <w:tr>
        <w:tc>
          <w:tcPr>
            <w:tcW w:type="dxa" w:w="3118"/>
            <w:vAlign w:val="center"/>
          </w:tcPr>
          <w:p>
            <w:pPr>
              <w:jc w:val="left"/>
            </w:pPr>
            <w:r/>
            <w:r>
              <w:rPr>
                <w:rFonts w:ascii="Times New Roman" w:hAnsi="Times New Roman"/>
                <w:b w:val="0"/>
                <w:color w:val="000000"/>
                <w:sz w:val="20"/>
              </w:rPr>
              <w:t>Decreto 1075 de 2015</w:t>
            </w:r>
          </w:p>
        </w:tc>
        <w:tc>
          <w:tcPr>
            <w:tcW w:type="dxa" w:w="1020"/>
            <w:vAlign w:val="center"/>
          </w:tcPr>
          <w:p>
            <w:pPr>
              <w:jc w:val="right"/>
            </w:pPr>
            <w:r/>
            <w:r>
              <w:rPr>
                <w:rFonts w:ascii="Times New Roman" w:hAnsi="Times New Roman"/>
                <w:b w:val="0"/>
                <w:color w:val="000000"/>
                <w:sz w:val="20"/>
              </w:rPr>
              <w:t>2015</w:t>
            </w:r>
          </w:p>
        </w:tc>
        <w:tc>
          <w:tcPr>
            <w:tcW w:type="dxa" w:w="5386"/>
            <w:vAlign w:val="center"/>
          </w:tcPr>
          <w:p>
            <w:pPr>
              <w:jc w:val="left"/>
            </w:pPr>
            <w:r/>
            <w:r>
              <w:rPr>
                <w:rFonts w:ascii="Times New Roman" w:hAnsi="Times New Roman"/>
                <w:b w:val="0"/>
                <w:color w:val="000000"/>
                <w:sz w:val="20"/>
              </w:rPr>
              <w:t>Decreto Único Reglamentario del Sector Educación.</w:t>
            </w:r>
          </w:p>
        </w:tc>
      </w:tr>
      <w:tr>
        <w:tc>
          <w:tcPr>
            <w:tcW w:type="dxa" w:w="3118"/>
            <w:vAlign w:val="center"/>
          </w:tcPr>
          <w:p>
            <w:pPr>
              <w:jc w:val="left"/>
            </w:pPr>
            <w:r/>
            <w:r>
              <w:rPr>
                <w:rFonts w:ascii="Times New Roman" w:hAnsi="Times New Roman"/>
                <w:b w:val="0"/>
                <w:color w:val="000000"/>
                <w:sz w:val="20"/>
              </w:rPr>
              <w:t>Decreto 1421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Educación inclusiva con enfoque de discapacidad — accesibilidad universal.</w:t>
            </w:r>
          </w:p>
        </w:tc>
      </w:tr>
      <w:tr>
        <w:tc>
          <w:tcPr>
            <w:tcW w:type="dxa" w:w="3118"/>
            <w:vAlign w:val="center"/>
          </w:tcPr>
          <w:p>
            <w:pPr>
              <w:jc w:val="left"/>
            </w:pPr>
            <w:r/>
            <w:r>
              <w:rPr>
                <w:rFonts w:ascii="Times New Roman" w:hAnsi="Times New Roman"/>
                <w:b w:val="0"/>
                <w:color w:val="000000"/>
                <w:sz w:val="20"/>
              </w:rPr>
              <w:t>Resolución MEN 21534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Operación del FFIE — Fondo de Financiamiento de la Infraestructura Educativa.</w:t>
            </w:r>
          </w:p>
        </w:tc>
      </w:tr>
      <w:tr>
        <w:tc>
          <w:tcPr>
            <w:tcW w:type="dxa" w:w="3118"/>
            <w:vAlign w:val="center"/>
          </w:tcPr>
          <w:p>
            <w:pPr>
              <w:jc w:val="left"/>
            </w:pPr>
            <w:r/>
            <w:r>
              <w:rPr>
                <w:rFonts w:ascii="Times New Roman" w:hAnsi="Times New Roman"/>
                <w:b w:val="0"/>
                <w:color w:val="000000"/>
                <w:sz w:val="20"/>
              </w:rPr>
              <w:t>Política Nacional de Infraestructura Educativa</w:t>
            </w:r>
          </w:p>
        </w:tc>
        <w:tc>
          <w:tcPr>
            <w:tcW w:type="dxa" w:w="1020"/>
            <w:vAlign w:val="center"/>
          </w:tcPr>
          <w:p>
            <w:pPr>
              <w:jc w:val="right"/>
            </w:pPr>
            <w:r/>
            <w:r>
              <w:rPr>
                <w:rFonts w:ascii="Times New Roman" w:hAnsi="Times New Roman"/>
                <w:b w:val="0"/>
                <w:color w:val="000000"/>
                <w:sz w:val="20"/>
              </w:rPr>
              <w:t>2022</w:t>
            </w:r>
          </w:p>
        </w:tc>
        <w:tc>
          <w:tcPr>
            <w:tcW w:type="dxa" w:w="5386"/>
            <w:vAlign w:val="center"/>
          </w:tcPr>
          <w:p>
            <w:pPr>
              <w:jc w:val="left"/>
            </w:pPr>
            <w:r/>
            <w:r>
              <w:rPr>
                <w:rFonts w:ascii="Times New Roman" w:hAnsi="Times New Roman"/>
                <w:b w:val="0"/>
                <w:color w:val="000000"/>
                <w:sz w:val="20"/>
              </w:rPr>
              <w:t>Lineamientos para planeación, priorización y costeo.</w:t>
            </w:r>
          </w:p>
        </w:tc>
      </w:tr>
    </w:tbl>
    <w:p>
      <w:pPr>
        <w:pStyle w:val="Heading2"/>
      </w:pPr>
      <w:r>
        <w:t>1.4 Marco programático distrital</w:t>
      </w:r>
    </w:p>
    <w:p>
      <w:pPr>
        <w:jc w:val="both"/>
      </w:pPr>
      <w:r>
        <w:rPr>
          <w:rFonts w:ascii="Times New Roman" w:hAnsi="Times New Roman"/>
          <w:b w:val="0"/>
          <w:i w:val="0"/>
          <w:color w:val="000000"/>
          <w:sz w:val="22"/>
        </w:rPr>
        <w:t>El PMIE se inserta en un marco programático distrital que define las metas operativas y los mecanismos de gestión de la infraestructura educativa en el Distrito. El Plan de Desarrollo «Cali, Ciudad que Educa y Aprende» (2024–2027) establece como línea estratégica explícita el mejoramiento de la infraestructura escolar y la ampliación de cobertura. El Plan Sectorial de Educación 2024-2027 articula los retos del sector y define el plan indicativo plurianual al que se subordina la programación PMIE.</w:t>
      </w:r>
    </w:p>
    <w:p>
      <w:pPr>
        <w:jc w:val="both"/>
      </w:pPr>
      <w:r>
        <w:rPr>
          <w:rFonts w:ascii="Times New Roman" w:hAnsi="Times New Roman"/>
          <w:b w:val="0"/>
          <w:i w:val="0"/>
          <w:color w:val="000000"/>
          <w:sz w:val="22"/>
        </w:rPr>
        <w:t>A nivel reglamentario distrital, el Decreto 4112.010.20.0403 de 2020 establece lineamientos de gestión territorial y articulación con el Plan Sectorial. El Manual de Intervención de Infraestructura Escolar de 2023 fija los protocolos técnicos de diagnóstico e intervención. La Ley 388 de 1997 y el Plan de Ordenamiento Territorial vigente regulan los procesos de gestión predial aplicables a los Programas P1 (Construcción Nueva) y P4 (Ampliación en Sitio Propio).</w:t>
      </w:r>
    </w:p>
    <w:p>
      <w:pPr>
        <w:jc w:val="both"/>
      </w:pPr>
      <w:r>
        <w:rPr>
          <w:rFonts w:ascii="Times New Roman" w:hAnsi="Times New Roman"/>
          <w:b w:val="0"/>
          <w:i/>
          <w:color w:val="0F4761"/>
          <w:sz w:val="20"/>
        </w:rPr>
        <w:t>Tabla 3. Marco programático y reglamentario distrital.</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Instrumento</w:t>
            </w:r>
          </w:p>
        </w:tc>
        <w:tc>
          <w:tcPr>
            <w:tcW w:type="dxa" w:w="1020"/>
            <w:shd w:val="clear" w:color="auto" w:fill="0F4761"/>
            <w:vAlign w:val="center"/>
          </w:tcPr>
          <w:p>
            <w:pPr>
              <w:jc w:val="center"/>
            </w:pPr>
            <w:r/>
            <w:r>
              <w:rPr>
                <w:rFonts w:ascii="Times New Roman" w:hAnsi="Times New Roman"/>
                <w:b/>
                <w:color w:val="FFFFFF"/>
                <w:sz w:val="20"/>
              </w:rPr>
              <w:t>Vigencia</w:t>
            </w:r>
          </w:p>
        </w:tc>
        <w:tc>
          <w:tcPr>
            <w:tcW w:type="dxa" w:w="5102"/>
            <w:shd w:val="clear" w:color="auto" w:fill="0F4761"/>
            <w:vAlign w:val="center"/>
          </w:tcPr>
          <w:p>
            <w:pPr>
              <w:jc w:val="center"/>
            </w:pPr>
            <w:r/>
            <w:r>
              <w:rPr>
                <w:rFonts w:ascii="Times New Roman" w:hAnsi="Times New Roman"/>
                <w:b/>
                <w:color w:val="FFFFFF"/>
                <w:sz w:val="20"/>
              </w:rPr>
              <w:t>Articulación con el PMIE</w:t>
            </w:r>
          </w:p>
        </w:tc>
      </w:tr>
      <w:tr>
        <w:tc>
          <w:tcPr>
            <w:tcW w:type="dxa" w:w="3402"/>
            <w:vAlign w:val="center"/>
          </w:tcPr>
          <w:p>
            <w:pPr>
              <w:jc w:val="left"/>
            </w:pPr>
            <w:r/>
            <w:r>
              <w:rPr>
                <w:rFonts w:ascii="Times New Roman" w:hAnsi="Times New Roman"/>
                <w:b w:val="0"/>
                <w:color w:val="000000"/>
                <w:sz w:val="20"/>
              </w:rPr>
              <w:t>Plan de Desarrollo «Cali, Ciudad que Educa y Aprende»</w:t>
            </w:r>
          </w:p>
        </w:tc>
        <w:tc>
          <w:tcPr>
            <w:tcW w:type="dxa" w:w="1020"/>
            <w:vAlign w:val="center"/>
          </w:tcPr>
          <w:p>
            <w:pPr>
              <w:jc w:val="left"/>
            </w:pPr>
            <w:r/>
            <w:r>
              <w:rPr>
                <w:rFonts w:ascii="Times New Roman" w:hAnsi="Times New Roman"/>
                <w:b w:val="0"/>
                <w:color w:val="000000"/>
                <w:sz w:val="20"/>
              </w:rPr>
              <w:t>2024–2027</w:t>
            </w:r>
          </w:p>
        </w:tc>
        <w:tc>
          <w:tcPr>
            <w:tcW w:type="dxa" w:w="5102"/>
            <w:vAlign w:val="center"/>
          </w:tcPr>
          <w:p>
            <w:pPr>
              <w:jc w:val="left"/>
            </w:pPr>
            <w:r/>
            <w:r>
              <w:rPr>
                <w:rFonts w:ascii="Times New Roman" w:hAnsi="Times New Roman"/>
                <w:b w:val="0"/>
                <w:color w:val="000000"/>
                <w:sz w:val="20"/>
              </w:rPr>
              <w:t>Marco programático inmediato; metas anuales de inversión en infraestructura.</w:t>
            </w:r>
          </w:p>
        </w:tc>
      </w:tr>
      <w:tr>
        <w:tc>
          <w:tcPr>
            <w:tcW w:type="dxa" w:w="3402"/>
            <w:vAlign w:val="center"/>
          </w:tcPr>
          <w:p>
            <w:pPr>
              <w:jc w:val="left"/>
            </w:pPr>
            <w:r/>
            <w:r>
              <w:rPr>
                <w:rFonts w:ascii="Times New Roman" w:hAnsi="Times New Roman"/>
                <w:b w:val="0"/>
                <w:color w:val="000000"/>
                <w:sz w:val="20"/>
              </w:rPr>
              <w:t>Plan Sectorial de Educación 2024-2027</w:t>
            </w:r>
          </w:p>
        </w:tc>
        <w:tc>
          <w:tcPr>
            <w:tcW w:type="dxa" w:w="1020"/>
            <w:vAlign w:val="center"/>
          </w:tcPr>
          <w:p>
            <w:pPr>
              <w:jc w:val="right"/>
            </w:pPr>
            <w:r/>
            <w:r>
              <w:rPr>
                <w:rFonts w:ascii="Times New Roman" w:hAnsi="Times New Roman"/>
                <w:b w:val="0"/>
                <w:color w:val="000000"/>
                <w:sz w:val="20"/>
              </w:rPr>
              <w:t>2024</w:t>
            </w:r>
          </w:p>
        </w:tc>
        <w:tc>
          <w:tcPr>
            <w:tcW w:type="dxa" w:w="5102"/>
            <w:vAlign w:val="center"/>
          </w:tcPr>
          <w:p>
            <w:pPr>
              <w:jc w:val="left"/>
            </w:pPr>
            <w:r/>
            <w:r>
              <w:rPr>
                <w:rFonts w:ascii="Times New Roman" w:hAnsi="Times New Roman"/>
                <w:b w:val="0"/>
                <w:color w:val="000000"/>
                <w:sz w:val="20"/>
              </w:rPr>
              <w:t>Define apuestas estratégicas y Plan Indicativo al que se articula el PMIE.</w:t>
            </w:r>
          </w:p>
        </w:tc>
      </w:tr>
      <w:tr>
        <w:tc>
          <w:tcPr>
            <w:tcW w:type="dxa" w:w="3402"/>
            <w:vAlign w:val="center"/>
          </w:tcPr>
          <w:p>
            <w:pPr>
              <w:jc w:val="left"/>
            </w:pPr>
            <w:r/>
            <w:r>
              <w:rPr>
                <w:rFonts w:ascii="Times New Roman" w:hAnsi="Times New Roman"/>
                <w:b w:val="0"/>
                <w:color w:val="000000"/>
                <w:sz w:val="20"/>
              </w:rPr>
              <w:t>Decreto Distrital 4112.010.20.0403</w:t>
            </w:r>
          </w:p>
        </w:tc>
        <w:tc>
          <w:tcPr>
            <w:tcW w:type="dxa" w:w="1020"/>
            <w:vAlign w:val="center"/>
          </w:tcPr>
          <w:p>
            <w:pPr>
              <w:jc w:val="right"/>
            </w:pPr>
            <w:r/>
            <w:r>
              <w:rPr>
                <w:rFonts w:ascii="Times New Roman" w:hAnsi="Times New Roman"/>
                <w:b w:val="0"/>
                <w:color w:val="000000"/>
                <w:sz w:val="20"/>
              </w:rPr>
              <w:t>2020</w:t>
            </w:r>
          </w:p>
        </w:tc>
        <w:tc>
          <w:tcPr>
            <w:tcW w:type="dxa" w:w="5102"/>
            <w:vAlign w:val="center"/>
          </w:tcPr>
          <w:p>
            <w:pPr>
              <w:jc w:val="left"/>
            </w:pPr>
            <w:r/>
            <w:r>
              <w:rPr>
                <w:rFonts w:ascii="Times New Roman" w:hAnsi="Times New Roman"/>
                <w:b w:val="0"/>
                <w:color w:val="000000"/>
                <w:sz w:val="20"/>
              </w:rPr>
              <w:t>Lineamientos de gestión territorial educativa.</w:t>
            </w:r>
          </w:p>
        </w:tc>
      </w:tr>
      <w:tr>
        <w:tc>
          <w:tcPr>
            <w:tcW w:type="dxa" w:w="3402"/>
            <w:vAlign w:val="center"/>
          </w:tcPr>
          <w:p>
            <w:pPr>
              <w:jc w:val="left"/>
            </w:pPr>
            <w:r/>
            <w:r>
              <w:rPr>
                <w:rFonts w:ascii="Times New Roman" w:hAnsi="Times New Roman"/>
                <w:b w:val="0"/>
                <w:color w:val="000000"/>
                <w:sz w:val="20"/>
              </w:rPr>
              <w:t>Manual de Intervención de Infraestructura Escolar</w:t>
            </w:r>
          </w:p>
        </w:tc>
        <w:tc>
          <w:tcPr>
            <w:tcW w:type="dxa" w:w="1020"/>
            <w:vAlign w:val="center"/>
          </w:tcPr>
          <w:p>
            <w:pPr>
              <w:jc w:val="right"/>
            </w:pPr>
            <w:r/>
            <w:r>
              <w:rPr>
                <w:rFonts w:ascii="Times New Roman" w:hAnsi="Times New Roman"/>
                <w:b w:val="0"/>
                <w:color w:val="000000"/>
                <w:sz w:val="20"/>
              </w:rPr>
              <w:t>2023</w:t>
            </w:r>
          </w:p>
        </w:tc>
        <w:tc>
          <w:tcPr>
            <w:tcW w:type="dxa" w:w="5102"/>
            <w:vAlign w:val="center"/>
          </w:tcPr>
          <w:p>
            <w:pPr>
              <w:jc w:val="left"/>
            </w:pPr>
            <w:r/>
            <w:r>
              <w:rPr>
                <w:rFonts w:ascii="Times New Roman" w:hAnsi="Times New Roman"/>
                <w:b w:val="0"/>
                <w:color w:val="000000"/>
                <w:sz w:val="20"/>
              </w:rPr>
              <w:t>Protocolo técnico para diagnóstico, intervención y mantenimiento.</w:t>
            </w:r>
          </w:p>
        </w:tc>
      </w:tr>
      <w:tr>
        <w:tc>
          <w:tcPr>
            <w:tcW w:type="dxa" w:w="3402"/>
            <w:vAlign w:val="center"/>
          </w:tcPr>
          <w:p>
            <w:pPr>
              <w:jc w:val="left"/>
            </w:pPr>
            <w:r/>
            <w:r>
              <w:rPr>
                <w:rFonts w:ascii="Times New Roman" w:hAnsi="Times New Roman"/>
                <w:b w:val="0"/>
                <w:color w:val="000000"/>
                <w:sz w:val="20"/>
              </w:rPr>
              <w:t>Plan de Ordenamiento Territorial (POT) Cali</w:t>
            </w:r>
          </w:p>
        </w:tc>
        <w:tc>
          <w:tcPr>
            <w:tcW w:type="dxa" w:w="1020"/>
            <w:vAlign w:val="center"/>
          </w:tcPr>
          <w:p>
            <w:pPr>
              <w:jc w:val="left"/>
            </w:pPr>
            <w:r/>
            <w:r>
              <w:rPr>
                <w:rFonts w:ascii="Times New Roman" w:hAnsi="Times New Roman"/>
                <w:b w:val="0"/>
                <w:color w:val="000000"/>
                <w:sz w:val="20"/>
              </w:rPr>
              <w:t>vigente</w:t>
            </w:r>
          </w:p>
        </w:tc>
        <w:tc>
          <w:tcPr>
            <w:tcW w:type="dxa" w:w="5102"/>
            <w:vAlign w:val="center"/>
          </w:tcPr>
          <w:p>
            <w:pPr>
              <w:jc w:val="left"/>
            </w:pPr>
            <w:r/>
            <w:r>
              <w:rPr>
                <w:rFonts w:ascii="Times New Roman" w:hAnsi="Times New Roman"/>
                <w:b w:val="0"/>
                <w:color w:val="000000"/>
                <w:sz w:val="20"/>
              </w:rPr>
              <w:t>Regula viabilidad predial de ampliaciones y construcciones nuevas (P1, P4).</w:t>
            </w:r>
          </w:p>
        </w:tc>
      </w:tr>
      <w:tr>
        <w:tc>
          <w:tcPr>
            <w:tcW w:type="dxa" w:w="3402"/>
            <w:vAlign w:val="center"/>
          </w:tcPr>
          <w:p>
            <w:pPr>
              <w:jc w:val="left"/>
            </w:pPr>
            <w:r/>
            <w:r>
              <w:rPr>
                <w:rFonts w:ascii="Times New Roman" w:hAnsi="Times New Roman"/>
                <w:b w:val="0"/>
                <w:color w:val="000000"/>
                <w:sz w:val="20"/>
              </w:rPr>
              <w:t>Plan Municipal de Infraestructura Educativa</w:t>
            </w:r>
          </w:p>
        </w:tc>
        <w:tc>
          <w:tcPr>
            <w:tcW w:type="dxa" w:w="1020"/>
            <w:vAlign w:val="center"/>
          </w:tcPr>
          <w:p>
            <w:pPr>
              <w:jc w:val="right"/>
            </w:pPr>
            <w:r/>
            <w:r>
              <w:rPr>
                <w:rFonts w:ascii="Times New Roman" w:hAnsi="Times New Roman"/>
                <w:b w:val="0"/>
                <w:color w:val="000000"/>
                <w:sz w:val="20"/>
              </w:rPr>
              <w:t>2019</w:t>
            </w:r>
          </w:p>
        </w:tc>
        <w:tc>
          <w:tcPr>
            <w:tcW w:type="dxa" w:w="5102"/>
            <w:vAlign w:val="center"/>
          </w:tcPr>
          <w:p>
            <w:pPr>
              <w:jc w:val="left"/>
            </w:pPr>
            <w:r/>
            <w:r>
              <w:rPr>
                <w:rFonts w:ascii="Times New Roman" w:hAnsi="Times New Roman"/>
                <w:b w:val="0"/>
                <w:color w:val="000000"/>
                <w:sz w:val="20"/>
              </w:rPr>
              <w:t>Antecedente metodológico inmediato (apoyo Banco Mundial — Universidad de los Andes).</w:t>
            </w:r>
          </w:p>
        </w:tc>
      </w:tr>
    </w:tbl>
    <w:p>
      <w:r>
        <w:br w:type="page"/>
      </w:r>
    </w:p>
    <w:p>
      <w:pPr>
        <w:pStyle w:val="Heading1"/>
      </w:pPr>
      <w:r>
        <w:t>2. Marco Conceptual</w:t>
      </w:r>
    </w:p>
    <w:p>
      <w:pPr>
        <w:pStyle w:val="Heading2"/>
      </w:pPr>
      <w:r>
        <w:t>2.1 Dimensiones del diagnóstico</w:t>
      </w:r>
    </w:p>
    <w:p>
      <w:pPr>
        <w:jc w:val="both"/>
      </w:pPr>
      <w:r>
        <w:rPr>
          <w:rFonts w:ascii="Times New Roman" w:hAnsi="Times New Roman"/>
          <w:b w:val="0"/>
          <w:i w:val="0"/>
          <w:color w:val="000000"/>
          <w:sz w:val="22"/>
        </w:rPr>
        <w:t>El PMIE 2026 articula cuatro dimensiones complementarias de análisis que definen su enfoque conceptual y permiten una evaluación integral del parque escolar. Estas dimensiones son interdependientes: una sede puede presentar buen desempeño en una dimensión y deficiencias significativas en otra, lo que justifica la asignación a programas de intervención específicos y diferenciados.</w:t>
      </w:r>
    </w:p>
    <w:p>
      <w:pPr>
        <w:jc w:val="both"/>
      </w:pPr>
      <w:r>
        <w:rPr>
          <w:rFonts w:ascii="Times New Roman" w:hAnsi="Times New Roman"/>
          <w:b w:val="0"/>
          <w:i/>
          <w:color w:val="0F4761"/>
          <w:sz w:val="20"/>
        </w:rPr>
        <w:t>Tabla 4. Dimensiones del diagnóstico — normas, criterios e indicadores aplicados.</w:t>
      </w:r>
    </w:p>
    <w:tbl>
      <w:tblPr>
        <w:tblStyle w:val="LightGrid-Accent1"/>
        <w:tblW w:type="auto" w:w="0"/>
        <w:tblLook w:firstColumn="1" w:firstRow="1" w:lastColumn="0" w:lastRow="0" w:noHBand="0" w:noVBand="1" w:val="04A0"/>
      </w:tblPr>
      <w:tblGrid>
        <w:gridCol w:w="2280"/>
        <w:gridCol w:w="2280"/>
        <w:gridCol w:w="2280"/>
        <w:gridCol w:w="2280"/>
      </w:tblGrid>
      <w:tr>
        <w:tc>
          <w:tcPr>
            <w:tcW w:type="dxa" w:w="1587"/>
            <w:shd w:val="clear" w:color="auto" w:fill="0F4761"/>
            <w:vAlign w:val="center"/>
          </w:tcPr>
          <w:p>
            <w:pPr>
              <w:jc w:val="center"/>
            </w:pPr>
            <w:r/>
            <w:r>
              <w:rPr>
                <w:rFonts w:ascii="Times New Roman" w:hAnsi="Times New Roman"/>
                <w:b/>
                <w:color w:val="FFFFFF"/>
                <w:sz w:val="20"/>
              </w:rPr>
              <w:t>Dimensión</w:t>
            </w:r>
          </w:p>
        </w:tc>
        <w:tc>
          <w:tcPr>
            <w:tcW w:type="dxa" w:w="1814"/>
            <w:shd w:val="clear" w:color="auto" w:fill="0F4761"/>
            <w:vAlign w:val="center"/>
          </w:tcPr>
          <w:p>
            <w:pPr>
              <w:jc w:val="center"/>
            </w:pPr>
            <w:r/>
            <w:r>
              <w:rPr>
                <w:rFonts w:ascii="Times New Roman" w:hAnsi="Times New Roman"/>
                <w:b/>
                <w:color w:val="FFFFFF"/>
                <w:sz w:val="20"/>
              </w:rPr>
              <w:t>Norma de referencia</w:t>
            </w:r>
          </w:p>
        </w:tc>
        <w:tc>
          <w:tcPr>
            <w:tcW w:type="dxa" w:w="3118"/>
            <w:shd w:val="clear" w:color="auto" w:fill="0F4761"/>
            <w:vAlign w:val="center"/>
          </w:tcPr>
          <w:p>
            <w:pPr>
              <w:jc w:val="center"/>
            </w:pPr>
            <w:r/>
            <w:r>
              <w:rPr>
                <w:rFonts w:ascii="Times New Roman" w:hAnsi="Times New Roman"/>
                <w:b/>
                <w:color w:val="FFFFFF"/>
                <w:sz w:val="20"/>
              </w:rPr>
              <w:t>Criterio de evaluación</w:t>
            </w:r>
          </w:p>
        </w:tc>
        <w:tc>
          <w:tcPr>
            <w:tcW w:type="dxa" w:w="2835"/>
            <w:shd w:val="clear" w:color="auto" w:fill="0F4761"/>
            <w:vAlign w:val="center"/>
          </w:tcPr>
          <w:p>
            <w:pPr>
              <w:jc w:val="center"/>
            </w:pPr>
            <w:r/>
            <w:r>
              <w:rPr>
                <w:rFonts w:ascii="Times New Roman" w:hAnsi="Times New Roman"/>
                <w:b/>
                <w:color w:val="FFFFFF"/>
                <w:sz w:val="20"/>
              </w:rPr>
              <w:t>Indicador del PMIE</w:t>
            </w:r>
          </w:p>
        </w:tc>
      </w:tr>
      <w:tr>
        <w:tc>
          <w:tcPr>
            <w:tcW w:type="dxa" w:w="1587"/>
            <w:vAlign w:val="center"/>
          </w:tcPr>
          <w:p>
            <w:pPr>
              <w:jc w:val="left"/>
            </w:pPr>
            <w:r/>
            <w:r>
              <w:rPr>
                <w:rFonts w:ascii="Times New Roman" w:hAnsi="Times New Roman"/>
                <w:b w:val="0"/>
                <w:color w:val="000000"/>
                <w:sz w:val="20"/>
              </w:rPr>
              <w:t>Estructural</w:t>
            </w:r>
          </w:p>
        </w:tc>
        <w:tc>
          <w:tcPr>
            <w:tcW w:type="dxa" w:w="1814"/>
            <w:vAlign w:val="center"/>
          </w:tcPr>
          <w:p>
            <w:pPr>
              <w:jc w:val="left"/>
            </w:pPr>
            <w:r/>
            <w:r>
              <w:rPr>
                <w:rFonts w:ascii="Times New Roman" w:hAnsi="Times New Roman"/>
                <w:b w:val="0"/>
                <w:color w:val="000000"/>
                <w:sz w:val="20"/>
              </w:rPr>
              <w:t>NSR-10</w:t>
            </w:r>
          </w:p>
        </w:tc>
        <w:tc>
          <w:tcPr>
            <w:tcW w:type="dxa" w:w="3118"/>
            <w:vAlign w:val="center"/>
          </w:tcPr>
          <w:p>
            <w:pPr>
              <w:jc w:val="left"/>
            </w:pPr>
            <w:r/>
            <w:r>
              <w:rPr>
                <w:rFonts w:ascii="Times New Roman" w:hAnsi="Times New Roman"/>
                <w:b w:val="0"/>
                <w:color w:val="000000"/>
                <w:sz w:val="20"/>
              </w:rPr>
              <w:t>Estabilidad y seguridad sísmica de la edificación.</w:t>
            </w:r>
          </w:p>
        </w:tc>
        <w:tc>
          <w:tcPr>
            <w:tcW w:type="dxa" w:w="2835"/>
            <w:vAlign w:val="center"/>
          </w:tcPr>
          <w:p>
            <w:pPr>
              <w:jc w:val="left"/>
            </w:pPr>
            <w:r/>
            <w:r>
              <w:rPr>
                <w:rFonts w:ascii="Times New Roman" w:hAnsi="Times New Roman"/>
                <w:b w:val="0"/>
                <w:color w:val="000000"/>
                <w:sz w:val="20"/>
              </w:rPr>
              <w:t>Ratio daño esperado / Valor de Reposición (Aa=0,25g).</w:t>
            </w:r>
          </w:p>
        </w:tc>
      </w:tr>
      <w:tr>
        <w:tc>
          <w:tcPr>
            <w:tcW w:type="dxa" w:w="1587"/>
            <w:vAlign w:val="center"/>
          </w:tcPr>
          <w:p>
            <w:pPr>
              <w:jc w:val="left"/>
            </w:pPr>
            <w:r/>
            <w:r>
              <w:rPr>
                <w:rFonts w:ascii="Times New Roman" w:hAnsi="Times New Roman"/>
                <w:b w:val="0"/>
                <w:color w:val="000000"/>
                <w:sz w:val="20"/>
              </w:rPr>
              <w:t>Funcional</w:t>
            </w:r>
          </w:p>
        </w:tc>
        <w:tc>
          <w:tcPr>
            <w:tcW w:type="dxa" w:w="1814"/>
            <w:vAlign w:val="center"/>
          </w:tcPr>
          <w:p>
            <w:pPr>
              <w:jc w:val="left"/>
            </w:pPr>
            <w:r/>
            <w:r>
              <w:rPr>
                <w:rFonts w:ascii="Times New Roman" w:hAnsi="Times New Roman"/>
                <w:b w:val="0"/>
                <w:color w:val="000000"/>
                <w:sz w:val="20"/>
              </w:rPr>
              <w:t>NTC 4595</w:t>
            </w:r>
          </w:p>
        </w:tc>
        <w:tc>
          <w:tcPr>
            <w:tcW w:type="dxa" w:w="3118"/>
            <w:vAlign w:val="center"/>
          </w:tcPr>
          <w:p>
            <w:pPr>
              <w:jc w:val="left"/>
            </w:pPr>
            <w:r/>
            <w:r>
              <w:rPr>
                <w:rFonts w:ascii="Times New Roman" w:hAnsi="Times New Roman"/>
                <w:b w:val="0"/>
                <w:color w:val="000000"/>
                <w:sz w:val="20"/>
              </w:rPr>
              <w:t>Calidad, área, accesibilidad y servicios.</w:t>
            </w:r>
          </w:p>
        </w:tc>
        <w:tc>
          <w:tcPr>
            <w:tcW w:type="dxa" w:w="2835"/>
            <w:vAlign w:val="center"/>
          </w:tcPr>
          <w:p>
            <w:pPr>
              <w:jc w:val="left"/>
            </w:pPr>
            <w:r/>
            <w:r>
              <w:rPr>
                <w:rFonts w:ascii="Times New Roman" w:hAnsi="Times New Roman"/>
                <w:b w:val="0"/>
                <w:color w:val="000000"/>
                <w:sz w:val="20"/>
              </w:rPr>
              <w:t>Índice compuesto NTC 4595 ponderado por 23 tipologías.</w:t>
            </w:r>
          </w:p>
        </w:tc>
      </w:tr>
      <w:tr>
        <w:tc>
          <w:tcPr>
            <w:tcW w:type="dxa" w:w="1587"/>
            <w:vAlign w:val="center"/>
          </w:tcPr>
          <w:p>
            <w:pPr>
              <w:jc w:val="left"/>
            </w:pPr>
            <w:r/>
            <w:r>
              <w:rPr>
                <w:rFonts w:ascii="Times New Roman" w:hAnsi="Times New Roman"/>
                <w:b w:val="0"/>
                <w:color w:val="000000"/>
                <w:sz w:val="20"/>
              </w:rPr>
              <w:t>Capacidad</w:t>
            </w:r>
          </w:p>
        </w:tc>
        <w:tc>
          <w:tcPr>
            <w:tcW w:type="dxa" w:w="1814"/>
            <w:vAlign w:val="center"/>
          </w:tcPr>
          <w:p>
            <w:pPr>
              <w:jc w:val="left"/>
            </w:pPr>
            <w:r/>
            <w:r>
              <w:rPr>
                <w:rFonts w:ascii="Times New Roman" w:hAnsi="Times New Roman"/>
                <w:b w:val="0"/>
                <w:color w:val="000000"/>
                <w:sz w:val="20"/>
              </w:rPr>
              <w:t>NTC 6705:2023</w:t>
            </w:r>
          </w:p>
        </w:tc>
        <w:tc>
          <w:tcPr>
            <w:tcW w:type="dxa" w:w="3118"/>
            <w:vAlign w:val="center"/>
          </w:tcPr>
          <w:p>
            <w:pPr>
              <w:jc w:val="left"/>
            </w:pPr>
            <w:r/>
            <w:r>
              <w:rPr>
                <w:rFonts w:ascii="Times New Roman" w:hAnsi="Times New Roman"/>
                <w:b w:val="0"/>
                <w:color w:val="000000"/>
                <w:sz w:val="20"/>
              </w:rPr>
              <w:t>Suficiencia de área construida por estudiante.</w:t>
            </w:r>
          </w:p>
        </w:tc>
        <w:tc>
          <w:tcPr>
            <w:tcW w:type="dxa" w:w="2835"/>
            <w:vAlign w:val="center"/>
          </w:tcPr>
          <w:p>
            <w:pPr>
              <w:jc w:val="left"/>
            </w:pPr>
            <w:r/>
            <w:r>
              <w:rPr>
                <w:rFonts w:ascii="Times New Roman" w:hAnsi="Times New Roman"/>
                <w:b w:val="0"/>
                <w:color w:val="000000"/>
                <w:sz w:val="20"/>
              </w:rPr>
              <w:t>ISPF = Área real / (Matrícula × 5,36 m²/est).</w:t>
            </w:r>
          </w:p>
        </w:tc>
      </w:tr>
      <w:tr>
        <w:tc>
          <w:tcPr>
            <w:tcW w:type="dxa" w:w="1587"/>
            <w:vAlign w:val="center"/>
          </w:tcPr>
          <w:p>
            <w:pPr>
              <w:jc w:val="left"/>
            </w:pPr>
            <w:r/>
            <w:r>
              <w:rPr>
                <w:rFonts w:ascii="Times New Roman" w:hAnsi="Times New Roman"/>
                <w:b w:val="0"/>
                <w:color w:val="000000"/>
                <w:sz w:val="20"/>
              </w:rPr>
              <w:t>Eficiencia</w:t>
            </w:r>
          </w:p>
        </w:tc>
        <w:tc>
          <w:tcPr>
            <w:tcW w:type="dxa" w:w="1814"/>
            <w:vAlign w:val="center"/>
          </w:tcPr>
          <w:p>
            <w:pPr>
              <w:jc w:val="left"/>
            </w:pPr>
            <w:r/>
            <w:r>
              <w:rPr>
                <w:rFonts w:ascii="Times New Roman" w:hAnsi="Times New Roman"/>
                <w:b w:val="0"/>
                <w:color w:val="000000"/>
                <w:sz w:val="20"/>
              </w:rPr>
              <w:t>Criterio PMIE</w:t>
            </w:r>
          </w:p>
        </w:tc>
        <w:tc>
          <w:tcPr>
            <w:tcW w:type="dxa" w:w="3118"/>
            <w:vAlign w:val="center"/>
          </w:tcPr>
          <w:p>
            <w:pPr>
              <w:jc w:val="left"/>
            </w:pPr>
            <w:r/>
            <w:r>
              <w:rPr>
                <w:rFonts w:ascii="Times New Roman" w:hAnsi="Times New Roman"/>
                <w:b w:val="0"/>
                <w:color w:val="000000"/>
                <w:sz w:val="20"/>
              </w:rPr>
              <w:t>Costo de inversión por estudiante beneficiado.</w:t>
            </w:r>
          </w:p>
        </w:tc>
        <w:tc>
          <w:tcPr>
            <w:tcW w:type="dxa" w:w="2835"/>
            <w:vAlign w:val="center"/>
          </w:tcPr>
          <w:p>
            <w:pPr>
              <w:jc w:val="left"/>
            </w:pPr>
            <w:r/>
            <w:r>
              <w:rPr>
                <w:rFonts w:ascii="Times New Roman" w:hAnsi="Times New Roman"/>
                <w:b w:val="0"/>
                <w:color w:val="000000"/>
                <w:sz w:val="20"/>
              </w:rPr>
              <w:t>Quintiles Q1–Q5 por costo bruto por estudiante (BC/Mat).</w:t>
            </w:r>
          </w:p>
        </w:tc>
      </w:tr>
    </w:tbl>
    <w:p>
      <w:pPr>
        <w:pStyle w:val="Heading2"/>
      </w:pPr>
      <w:r>
        <w:t>2.2 Conceptos clave del Plan</w:t>
      </w:r>
    </w:p>
    <w:p>
      <w:pPr>
        <w:jc w:val="both"/>
      </w:pPr>
      <w:r>
        <w:rPr>
          <w:rFonts w:ascii="Times New Roman" w:hAnsi="Times New Roman"/>
          <w:b w:val="0"/>
          <w:i w:val="0"/>
          <w:color w:val="000000"/>
          <w:sz w:val="22"/>
        </w:rPr>
        <w:t>La Brecha Funcional (BF) cuantifica la inversión requerida para que una sede alcance el cumplimiento pleno de la NTC 4595. Su cálculo descompone seis componentes: adecuación de espacios existentes según calificación de calidad, ampliación de área en sitio propio, ampliación en otro predio con adquisición predial, y los costos asociados de redes, urbanismo y dotación. Cada uno de los componentes incorpora un 14% adicional de estudios y interventoría (7% cada uno).</w:t>
      </w:r>
    </w:p>
    <w:p>
      <w:pPr>
        <w:jc w:val="both"/>
      </w:pPr>
      <w:r>
        <w:rPr>
          <w:rFonts w:ascii="Times New Roman" w:hAnsi="Times New Roman"/>
          <w:b w:val="0"/>
          <w:i w:val="0"/>
          <w:color w:val="000000"/>
          <w:sz w:val="22"/>
        </w:rPr>
        <w:t>La Brecha Estructural (BE) cuantifica el costo de llevar la sede al cumplimiento NSR-10 en el escenario sísmico de Diseño (Aa=0,25g). Se obtiene del Anexo 2 del Plan 2019 actualizado en 2025 con la inclusión de la evaluación por bloques (1.480 bloques sobre 312 sedes). El PMIE 2026 agrega el 14% de estudios e interventoría sobre BE en el momento del cálculo del Plan.</w:t>
      </w:r>
    </w:p>
    <w:p>
      <w:pPr>
        <w:jc w:val="both"/>
      </w:pPr>
      <w:r>
        <w:rPr>
          <w:rFonts w:ascii="Times New Roman" w:hAnsi="Times New Roman"/>
          <w:b w:val="0"/>
          <w:i w:val="0"/>
          <w:color w:val="000000"/>
          <w:sz w:val="22"/>
        </w:rPr>
        <w:t>La Brecha Consolidada (BC) corresponde a la suma BF + BE × 1,14. Es la métrica agregada de inversión necesaria por sede para el cumplimiento simultáneo de las dos normas técnicas principales (NSR-10 y NTC 4595).</w:t>
      </w:r>
    </w:p>
    <w:p>
      <w:pPr>
        <w:jc w:val="both"/>
      </w:pPr>
      <w:r>
        <w:rPr>
          <w:rFonts w:ascii="Times New Roman" w:hAnsi="Times New Roman"/>
          <w:b w:val="0"/>
          <w:i w:val="0"/>
          <w:color w:val="000000"/>
          <w:sz w:val="22"/>
        </w:rPr>
        <w:t xml:space="preserve">El Valor de Reposición (VR) es el costo de reconstruir la sede completamente con su área actual, aplicando los costos unitarios de construcción nueva con extensión más el 14% de overhead. Su fórmula es: </w:t>
      </w:r>
    </w:p>
    <w:p>
      <w:pPr>
        <w:ind w:left="850" w:right="850"/>
      </w:pPr>
      <w:r>
        <w:rPr>
          <w:rFonts w:ascii="Times New Roman" w:hAnsi="Times New Roman"/>
          <w:i/>
          <w:color w:val="595959"/>
          <w:sz w:val="20"/>
        </w:rPr>
        <w:t>VR = Área_actual × Costo_construcción_nueva × FD_comuna × IPC × 1,14</w:t>
      </w:r>
    </w:p>
    <w:p>
      <w:pPr>
        <w:jc w:val="both"/>
      </w:pPr>
      <w:r>
        <w:rPr>
          <w:rFonts w:ascii="Times New Roman" w:hAnsi="Times New Roman"/>
          <w:b w:val="0"/>
          <w:i w:val="0"/>
          <w:color w:val="000000"/>
          <w:sz w:val="22"/>
        </w:rPr>
        <w:t>Donde FD es el factor de distancia/pendiente/suelo de la comuna y IPC es el factor de actualización monetaria. El umbral N1a del árbol de decisión compara BC/VR contra el parámetro configurable Umbral (por defecto 70%).</w:t>
      </w:r>
    </w:p>
    <w:p>
      <w:r>
        <w:br w:type="page"/>
      </w:r>
    </w:p>
    <w:p>
      <w:pPr>
        <w:jc w:val="center"/>
      </w:pPr>
      <w:r>
        <w:rPr>
          <w:rFonts w:ascii="Times New Roman" w:hAnsi="Times New Roman"/>
          <w:b/>
          <w:color w:val="0F4761"/>
          <w:sz w:val="44"/>
        </w:rPr>
        <w:t>Parte II</w:t>
      </w:r>
    </w:p>
    <w:p>
      <w:pPr>
        <w:jc w:val="center"/>
      </w:pPr>
      <w:r>
        <w:rPr>
          <w:rFonts w:ascii="Times New Roman" w:hAnsi="Times New Roman"/>
          <w:b/>
          <w:color w:val="0F4761"/>
          <w:sz w:val="32"/>
        </w:rPr>
        <w:t>Diagnóstico Integral de la Infraestructura</w:t>
      </w:r>
    </w:p>
    <w:p/>
    <w:p>
      <w:pPr>
        <w:jc w:val="both"/>
      </w:pPr>
      <w:r>
        <w:rPr>
          <w:rFonts w:ascii="Times New Roman" w:hAnsi="Times New Roman"/>
          <w:b w:val="0"/>
          <w:i w:val="0"/>
          <w:color w:val="000000"/>
          <w:sz w:val="22"/>
        </w:rPr>
        <w:t>La Parte II presenta los resultados del diagnóstico técnico realizado sobre 316 sedes educativas oficiales del Distrito durante el segundo semestre de 2025. Incluye la caracterización del sistema, la cartografía territorial del SIG-PMIE, los diagnósticos estructural (NSR-10) y funcional (NTC 4595), el análisis de capacidad y la consolidación de brechas.</w:t>
      </w:r>
    </w:p>
    <w:p>
      <w:r>
        <w:br w:type="page"/>
      </w:r>
    </w:p>
    <w:p>
      <w:pPr>
        <w:pStyle w:val="Heading1"/>
      </w:pPr>
      <w:r>
        <w:t>3. Metodología</w:t>
      </w:r>
    </w:p>
    <w:p>
      <w:pPr>
        <w:pStyle w:val="Heading2"/>
      </w:pPr>
      <w:r>
        <w:t>3.1 Fases según NTC 6705:2023</w:t>
      </w:r>
    </w:p>
    <w:p>
      <w:pPr>
        <w:jc w:val="both"/>
      </w:pPr>
      <w:r>
        <w:rPr>
          <w:rFonts w:ascii="Times New Roman" w:hAnsi="Times New Roman"/>
          <w:b w:val="0"/>
          <w:i w:val="0"/>
          <w:color w:val="000000"/>
          <w:sz w:val="22"/>
        </w:rPr>
        <w:t>El Plan se formuló bajo los lineamientos de la NTC 6705:2023 que establece cuatro fases metodológicas. Estas fases se adaptaron al contexto distrital y se asignaron a los capítulos del presente documento como se indica en la Tabla 5.</w:t>
      </w:r>
    </w:p>
    <w:p>
      <w:pPr>
        <w:jc w:val="both"/>
      </w:pPr>
      <w:r>
        <w:rPr>
          <w:rFonts w:ascii="Times New Roman" w:hAnsi="Times New Roman"/>
          <w:b w:val="0"/>
          <w:i/>
          <w:color w:val="0F4761"/>
          <w:sz w:val="20"/>
        </w:rPr>
        <w:t>Tabla 5. Cuatro fases de la NTC 6705:2023 y su mapeo a los capítulos del PMIE 2026.</w:t>
      </w:r>
    </w:p>
    <w:tbl>
      <w:tblPr>
        <w:tblStyle w:val="LightGrid-Accent1"/>
        <w:tblW w:type="auto" w:w="0"/>
        <w:tblLook w:firstColumn="1" w:firstRow="1" w:lastColumn="0" w:lastRow="0" w:noHBand="0" w:noVBand="1" w:val="04A0"/>
      </w:tblPr>
      <w:tblGrid>
        <w:gridCol w:w="3041"/>
        <w:gridCol w:w="3041"/>
        <w:gridCol w:w="3041"/>
      </w:tblGrid>
      <w:tr>
        <w:tc>
          <w:tcPr>
            <w:tcW w:type="dxa" w:w="2268"/>
            <w:shd w:val="clear" w:color="auto" w:fill="0F4761"/>
            <w:vAlign w:val="center"/>
          </w:tcPr>
          <w:p>
            <w:pPr>
              <w:jc w:val="center"/>
            </w:pPr>
            <w:r/>
            <w:r>
              <w:rPr>
                <w:rFonts w:ascii="Times New Roman" w:hAnsi="Times New Roman"/>
                <w:b/>
                <w:color w:val="FFFFFF"/>
                <w:sz w:val="20"/>
              </w:rPr>
              <w:t>Fase NTC 6705:2023</w:t>
            </w:r>
          </w:p>
        </w:tc>
        <w:tc>
          <w:tcPr>
            <w:tcW w:type="dxa" w:w="3969"/>
            <w:shd w:val="clear" w:color="auto" w:fill="0F4761"/>
            <w:vAlign w:val="center"/>
          </w:tcPr>
          <w:p>
            <w:pPr>
              <w:jc w:val="center"/>
            </w:pPr>
            <w:r/>
            <w:r>
              <w:rPr>
                <w:rFonts w:ascii="Times New Roman" w:hAnsi="Times New Roman"/>
                <w:b/>
                <w:color w:val="FFFFFF"/>
                <w:sz w:val="20"/>
              </w:rPr>
              <w:t>Contenido</w:t>
            </w:r>
          </w:p>
        </w:tc>
        <w:tc>
          <w:tcPr>
            <w:tcW w:type="dxa" w:w="2268"/>
            <w:shd w:val="clear" w:color="auto" w:fill="0F4761"/>
            <w:vAlign w:val="center"/>
          </w:tcPr>
          <w:p>
            <w:pPr>
              <w:jc w:val="center"/>
            </w:pPr>
            <w:r/>
            <w:r>
              <w:rPr>
                <w:rFonts w:ascii="Times New Roman" w:hAnsi="Times New Roman"/>
                <w:b/>
                <w:color w:val="FFFFFF"/>
                <w:sz w:val="20"/>
              </w:rPr>
              <w:t>Capítulos PMIE</w:t>
            </w:r>
          </w:p>
        </w:tc>
      </w:tr>
      <w:tr>
        <w:tc>
          <w:tcPr>
            <w:tcW w:type="dxa" w:w="2268"/>
            <w:vAlign w:val="center"/>
          </w:tcPr>
          <w:p>
            <w:pPr>
              <w:jc w:val="left"/>
            </w:pPr>
            <w:r/>
            <w:r>
              <w:rPr>
                <w:rFonts w:ascii="Times New Roman" w:hAnsi="Times New Roman"/>
                <w:b w:val="0"/>
                <w:color w:val="000000"/>
                <w:sz w:val="20"/>
              </w:rPr>
              <w:t>1. Diagnóstico</w:t>
            </w:r>
          </w:p>
        </w:tc>
        <w:tc>
          <w:tcPr>
            <w:tcW w:type="dxa" w:w="3969"/>
            <w:vAlign w:val="center"/>
          </w:tcPr>
          <w:p>
            <w:pPr>
              <w:jc w:val="left"/>
            </w:pPr>
            <w:r/>
            <w:r>
              <w:rPr>
                <w:rFonts w:ascii="Times New Roman" w:hAnsi="Times New Roman"/>
                <w:b w:val="0"/>
                <w:color w:val="000000"/>
                <w:sz w:val="20"/>
              </w:rPr>
              <w:t>Inventario y estado del parque escolar.</w:t>
            </w:r>
          </w:p>
        </w:tc>
        <w:tc>
          <w:tcPr>
            <w:tcW w:type="dxa" w:w="2268"/>
            <w:vAlign w:val="center"/>
          </w:tcPr>
          <w:p>
            <w:pPr>
              <w:jc w:val="left"/>
            </w:pPr>
            <w:r/>
            <w:r>
              <w:rPr>
                <w:rFonts w:ascii="Times New Roman" w:hAnsi="Times New Roman"/>
                <w:b w:val="0"/>
                <w:color w:val="000000"/>
                <w:sz w:val="20"/>
              </w:rPr>
              <w:t>Capítulos 4–5</w:t>
            </w:r>
          </w:p>
        </w:tc>
      </w:tr>
      <w:tr>
        <w:tc>
          <w:tcPr>
            <w:tcW w:type="dxa" w:w="2268"/>
            <w:vAlign w:val="center"/>
          </w:tcPr>
          <w:p>
            <w:pPr>
              <w:jc w:val="left"/>
            </w:pPr>
            <w:r/>
            <w:r>
              <w:rPr>
                <w:rFonts w:ascii="Times New Roman" w:hAnsi="Times New Roman"/>
                <w:b w:val="0"/>
                <w:color w:val="000000"/>
                <w:sz w:val="20"/>
              </w:rPr>
              <w:t>2. Análisis de brechas</w:t>
            </w:r>
          </w:p>
        </w:tc>
        <w:tc>
          <w:tcPr>
            <w:tcW w:type="dxa" w:w="3969"/>
            <w:vAlign w:val="center"/>
          </w:tcPr>
          <w:p>
            <w:pPr>
              <w:jc w:val="left"/>
            </w:pPr>
            <w:r/>
            <w:r>
              <w:rPr>
                <w:rFonts w:ascii="Times New Roman" w:hAnsi="Times New Roman"/>
                <w:b w:val="0"/>
                <w:color w:val="000000"/>
                <w:sz w:val="20"/>
              </w:rPr>
              <w:t>Cuantificación BF, BE, BC. Quintiles de eficiencia.</w:t>
            </w:r>
          </w:p>
        </w:tc>
        <w:tc>
          <w:tcPr>
            <w:tcW w:type="dxa" w:w="2268"/>
            <w:vAlign w:val="center"/>
          </w:tcPr>
          <w:p>
            <w:pPr>
              <w:jc w:val="left"/>
            </w:pPr>
            <w:r/>
            <w:r>
              <w:rPr>
                <w:rFonts w:ascii="Times New Roman" w:hAnsi="Times New Roman"/>
                <w:b w:val="0"/>
                <w:color w:val="000000"/>
                <w:sz w:val="20"/>
              </w:rPr>
              <w:t>Capítulo 5</w:t>
            </w:r>
          </w:p>
        </w:tc>
      </w:tr>
      <w:tr>
        <w:tc>
          <w:tcPr>
            <w:tcW w:type="dxa" w:w="2268"/>
            <w:vAlign w:val="center"/>
          </w:tcPr>
          <w:p>
            <w:pPr>
              <w:jc w:val="left"/>
            </w:pPr>
            <w:r/>
            <w:r>
              <w:rPr>
                <w:rFonts w:ascii="Times New Roman" w:hAnsi="Times New Roman"/>
                <w:b w:val="0"/>
                <w:color w:val="000000"/>
                <w:sz w:val="20"/>
              </w:rPr>
              <w:t>3. Formulación</w:t>
            </w:r>
          </w:p>
        </w:tc>
        <w:tc>
          <w:tcPr>
            <w:tcW w:type="dxa" w:w="3969"/>
            <w:vAlign w:val="center"/>
          </w:tcPr>
          <w:p>
            <w:pPr>
              <w:jc w:val="left"/>
            </w:pPr>
            <w:r/>
            <w:r>
              <w:rPr>
                <w:rFonts w:ascii="Times New Roman" w:hAnsi="Times New Roman"/>
                <w:b w:val="0"/>
                <w:color w:val="000000"/>
                <w:sz w:val="20"/>
              </w:rPr>
              <w:t>Árbol de decisión, programas de intervención.</w:t>
            </w:r>
          </w:p>
        </w:tc>
        <w:tc>
          <w:tcPr>
            <w:tcW w:type="dxa" w:w="2268"/>
            <w:vAlign w:val="center"/>
          </w:tcPr>
          <w:p>
            <w:pPr>
              <w:jc w:val="left"/>
            </w:pPr>
            <w:r/>
            <w:r>
              <w:rPr>
                <w:rFonts w:ascii="Times New Roman" w:hAnsi="Times New Roman"/>
                <w:b w:val="0"/>
                <w:color w:val="000000"/>
                <w:sz w:val="20"/>
              </w:rPr>
              <w:t>Capítulos 6–7</w:t>
            </w:r>
          </w:p>
        </w:tc>
      </w:tr>
      <w:tr>
        <w:tc>
          <w:tcPr>
            <w:tcW w:type="dxa" w:w="2268"/>
            <w:vAlign w:val="center"/>
          </w:tcPr>
          <w:p>
            <w:pPr>
              <w:jc w:val="left"/>
            </w:pPr>
            <w:r/>
            <w:r>
              <w:rPr>
                <w:rFonts w:ascii="Times New Roman" w:hAnsi="Times New Roman"/>
                <w:b w:val="0"/>
                <w:color w:val="000000"/>
                <w:sz w:val="20"/>
              </w:rPr>
              <w:t>4. Implementación</w:t>
            </w:r>
          </w:p>
        </w:tc>
        <w:tc>
          <w:tcPr>
            <w:tcW w:type="dxa" w:w="3969"/>
            <w:vAlign w:val="center"/>
          </w:tcPr>
          <w:p>
            <w:pPr>
              <w:jc w:val="left"/>
            </w:pPr>
            <w:r/>
            <w:r>
              <w:rPr>
                <w:rFonts w:ascii="Times New Roman" w:hAnsi="Times New Roman"/>
                <w:b w:val="0"/>
                <w:color w:val="000000"/>
                <w:sz w:val="20"/>
              </w:rPr>
              <w:t>Cronograma, fuentes de financiación, gestión.</w:t>
            </w:r>
          </w:p>
        </w:tc>
        <w:tc>
          <w:tcPr>
            <w:tcW w:type="dxa" w:w="2268"/>
            <w:vAlign w:val="center"/>
          </w:tcPr>
          <w:p>
            <w:pPr>
              <w:jc w:val="left"/>
            </w:pPr>
            <w:r/>
            <w:r>
              <w:rPr>
                <w:rFonts w:ascii="Times New Roman" w:hAnsi="Times New Roman"/>
                <w:b w:val="0"/>
                <w:color w:val="000000"/>
                <w:sz w:val="20"/>
              </w:rPr>
              <w:t>Capítulos 7–8</w:t>
            </w:r>
          </w:p>
        </w:tc>
      </w:tr>
    </w:tbl>
    <w:p>
      <w:pPr>
        <w:pStyle w:val="Heading2"/>
      </w:pPr>
      <w:r>
        <w:t>3.2 Fases ejecutadas 2025–2026</w:t>
      </w:r>
    </w:p>
    <w:p>
      <w:pPr>
        <w:jc w:val="both"/>
      </w:pPr>
      <w:r>
        <w:rPr>
          <w:rFonts w:ascii="Times New Roman" w:hAnsi="Times New Roman"/>
          <w:b w:val="0"/>
          <w:i/>
          <w:color w:val="0F4761"/>
          <w:sz w:val="20"/>
        </w:rPr>
        <w:t>Tabla 6. Fases del proceso de formulación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4252"/>
            <w:shd w:val="clear" w:color="auto" w:fill="0F4761"/>
            <w:vAlign w:val="center"/>
          </w:tcPr>
          <w:p>
            <w:pPr>
              <w:jc w:val="center"/>
            </w:pPr>
            <w:r/>
            <w:r>
              <w:rPr>
                <w:rFonts w:ascii="Times New Roman" w:hAnsi="Times New Roman"/>
                <w:b/>
                <w:color w:val="FFFFFF"/>
                <w:sz w:val="20"/>
              </w:rPr>
              <w:t>Actividades</w:t>
            </w:r>
          </w:p>
        </w:tc>
        <w:tc>
          <w:tcPr>
            <w:tcW w:type="dxa" w:w="1701"/>
            <w:shd w:val="clear" w:color="auto" w:fill="0F4761"/>
            <w:vAlign w:val="center"/>
          </w:tcPr>
          <w:p>
            <w:pPr>
              <w:jc w:val="center"/>
            </w:pPr>
            <w:r/>
            <w:r>
              <w:rPr>
                <w:rFonts w:ascii="Times New Roman" w:hAnsi="Times New Roman"/>
                <w:b/>
                <w:color w:val="FFFFFF"/>
                <w:sz w:val="20"/>
              </w:rPr>
              <w:t>Periodo</w:t>
            </w:r>
          </w:p>
        </w:tc>
        <w:tc>
          <w:tcPr>
            <w:tcW w:type="dxa" w:w="1417"/>
            <w:shd w:val="clear" w:color="auto" w:fill="0F4761"/>
            <w:vAlign w:val="center"/>
          </w:tcPr>
          <w:p>
            <w:pPr>
              <w:jc w:val="center"/>
            </w:pPr>
            <w:r/>
            <w:r>
              <w:rPr>
                <w:rFonts w:ascii="Times New Roman" w:hAnsi="Times New Roman"/>
                <w:b/>
                <w:color w:val="FFFFFF"/>
                <w:sz w:val="20"/>
              </w:rPr>
              <w:t>Estado</w:t>
            </w:r>
          </w:p>
        </w:tc>
      </w:tr>
      <w:tr>
        <w:tc>
          <w:tcPr>
            <w:tcW w:type="dxa" w:w="1701"/>
            <w:vAlign w:val="center"/>
          </w:tcPr>
          <w:p>
            <w:pPr>
              <w:jc w:val="left"/>
            </w:pPr>
            <w:r/>
            <w:r>
              <w:rPr>
                <w:rFonts w:ascii="Times New Roman" w:hAnsi="Times New Roman"/>
                <w:b w:val="0"/>
                <w:color w:val="000000"/>
                <w:sz w:val="20"/>
              </w:rPr>
              <w:t>I. Planeación técnica</w:t>
            </w:r>
          </w:p>
        </w:tc>
        <w:tc>
          <w:tcPr>
            <w:tcW w:type="dxa" w:w="4252"/>
            <w:vAlign w:val="center"/>
          </w:tcPr>
          <w:p>
            <w:pPr>
              <w:jc w:val="left"/>
            </w:pPr>
            <w:r/>
            <w:r>
              <w:rPr>
                <w:rFonts w:ascii="Times New Roman" w:hAnsi="Times New Roman"/>
                <w:b w:val="0"/>
                <w:color w:val="000000"/>
                <w:sz w:val="20"/>
              </w:rPr>
              <w:t>Revisión documental, diseño de instrumentos, prueba piloto.</w:t>
            </w:r>
          </w:p>
        </w:tc>
        <w:tc>
          <w:tcPr>
            <w:tcW w:type="dxa" w:w="1701"/>
            <w:vAlign w:val="center"/>
          </w:tcPr>
          <w:p>
            <w:pPr>
              <w:jc w:val="left"/>
            </w:pPr>
            <w:r/>
            <w:r>
              <w:rPr>
                <w:rFonts w:ascii="Times New Roman" w:hAnsi="Times New Roman"/>
                <w:b w:val="0"/>
                <w:color w:val="000000"/>
                <w:sz w:val="20"/>
              </w:rPr>
              <w:t>Feb–Abr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 Levantamiento campo</w:t>
            </w:r>
          </w:p>
        </w:tc>
        <w:tc>
          <w:tcPr>
            <w:tcW w:type="dxa" w:w="4252"/>
            <w:vAlign w:val="center"/>
          </w:tcPr>
          <w:p>
            <w:pPr>
              <w:jc w:val="left"/>
            </w:pPr>
            <w:r/>
            <w:r>
              <w:rPr>
                <w:rFonts w:ascii="Times New Roman" w:hAnsi="Times New Roman"/>
                <w:b w:val="0"/>
                <w:color w:val="000000"/>
                <w:sz w:val="20"/>
              </w:rPr>
              <w:t>Diagnóstico NSR-10, NTC 4595, capacidad — 316 sedes.</w:t>
            </w:r>
          </w:p>
        </w:tc>
        <w:tc>
          <w:tcPr>
            <w:tcW w:type="dxa" w:w="1701"/>
            <w:vAlign w:val="center"/>
          </w:tcPr>
          <w:p>
            <w:pPr>
              <w:jc w:val="left"/>
            </w:pPr>
            <w:r/>
            <w:r>
              <w:rPr>
                <w:rFonts w:ascii="Times New Roman" w:hAnsi="Times New Roman"/>
                <w:b w:val="0"/>
                <w:color w:val="000000"/>
                <w:sz w:val="20"/>
              </w:rPr>
              <w:t>Abr–Jul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III. Análisis</w:t>
            </w:r>
          </w:p>
        </w:tc>
        <w:tc>
          <w:tcPr>
            <w:tcW w:type="dxa" w:w="4252"/>
            <w:vAlign w:val="center"/>
          </w:tcPr>
          <w:p>
            <w:pPr>
              <w:jc w:val="left"/>
            </w:pPr>
            <w:r/>
            <w:r>
              <w:rPr>
                <w:rFonts w:ascii="Times New Roman" w:hAnsi="Times New Roman"/>
                <w:b w:val="0"/>
                <w:color w:val="000000"/>
                <w:sz w:val="20"/>
              </w:rPr>
              <w:t>Clasificación NSR-10, índice NTC 4595, brechas, quintiles.</w:t>
            </w:r>
          </w:p>
        </w:tc>
        <w:tc>
          <w:tcPr>
            <w:tcW w:type="dxa" w:w="1701"/>
            <w:vAlign w:val="center"/>
          </w:tcPr>
          <w:p>
            <w:pPr>
              <w:jc w:val="left"/>
            </w:pPr>
            <w:r/>
            <w:r>
              <w:rPr>
                <w:rFonts w:ascii="Times New Roman" w:hAnsi="Times New Roman"/>
                <w:b w:val="0"/>
                <w:color w:val="000000"/>
                <w:sz w:val="20"/>
              </w:rPr>
              <w:t>Ago–Nov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IV. Formulación</w:t>
            </w:r>
          </w:p>
        </w:tc>
        <w:tc>
          <w:tcPr>
            <w:tcW w:type="dxa" w:w="4252"/>
            <w:vAlign w:val="center"/>
          </w:tcPr>
          <w:p>
            <w:pPr>
              <w:jc w:val="left"/>
            </w:pPr>
            <w:r/>
            <w:r>
              <w:rPr>
                <w:rFonts w:ascii="Times New Roman" w:hAnsi="Times New Roman"/>
                <w:b w:val="0"/>
                <w:color w:val="000000"/>
                <w:sz w:val="20"/>
              </w:rPr>
              <w:t>Árbol de decisión, programas, proyección MCDE-T, costeo.</w:t>
            </w:r>
          </w:p>
        </w:tc>
        <w:tc>
          <w:tcPr>
            <w:tcW w:type="dxa" w:w="1701"/>
            <w:vAlign w:val="center"/>
          </w:tcPr>
          <w:p>
            <w:pPr>
              <w:jc w:val="left"/>
            </w:pPr>
            <w:r/>
            <w:r>
              <w:rPr>
                <w:rFonts w:ascii="Times New Roman" w:hAnsi="Times New Roman"/>
                <w:b w:val="0"/>
                <w:color w:val="000000"/>
                <w:sz w:val="20"/>
              </w:rPr>
              <w:t>Nov 2025–Mar 2026</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V. Consolidación</w:t>
            </w:r>
          </w:p>
        </w:tc>
        <w:tc>
          <w:tcPr>
            <w:tcW w:type="dxa" w:w="4252"/>
            <w:vAlign w:val="center"/>
          </w:tcPr>
          <w:p>
            <w:pPr>
              <w:jc w:val="left"/>
            </w:pPr>
            <w:r/>
            <w:r>
              <w:rPr>
                <w:rFonts w:ascii="Times New Roman" w:hAnsi="Times New Roman"/>
                <w:b w:val="0"/>
                <w:color w:val="000000"/>
                <w:sz w:val="20"/>
              </w:rPr>
              <w:t>Documento técnico, Herramienta Consolidada, validación.</w:t>
            </w:r>
          </w:p>
        </w:tc>
        <w:tc>
          <w:tcPr>
            <w:tcW w:type="dxa" w:w="1701"/>
            <w:vAlign w:val="center"/>
          </w:tcPr>
          <w:p>
            <w:pPr>
              <w:jc w:val="left"/>
            </w:pPr>
            <w:r/>
            <w:r>
              <w:rPr>
                <w:rFonts w:ascii="Times New Roman" w:hAnsi="Times New Roman"/>
                <w:b w:val="0"/>
                <w:color w:val="000000"/>
                <w:sz w:val="20"/>
              </w:rPr>
              <w:t>Abr–Jun 2026</w:t>
            </w:r>
          </w:p>
        </w:tc>
        <w:tc>
          <w:tcPr>
            <w:tcW w:type="dxa" w:w="1417"/>
            <w:vAlign w:val="center"/>
          </w:tcPr>
          <w:p>
            <w:pPr>
              <w:jc w:val="left"/>
            </w:pPr>
            <w:r/>
            <w:r>
              <w:rPr>
                <w:rFonts w:ascii="Times New Roman" w:hAnsi="Times New Roman"/>
                <w:b w:val="0"/>
                <w:color w:val="000000"/>
                <w:sz w:val="20"/>
              </w:rPr>
              <w:t>✓ En curso</w:t>
            </w:r>
          </w:p>
        </w:tc>
      </w:tr>
    </w:tbl>
    <w:p>
      <w:pPr>
        <w:pStyle w:val="Heading2"/>
      </w:pPr>
      <w:r>
        <w:t>3.3 Modelo de proyección de matrícula MCDE-T</w:t>
      </w:r>
    </w:p>
    <w:p>
      <w:pPr>
        <w:jc w:val="both"/>
      </w:pPr>
      <w:r>
        <w:rPr>
          <w:rFonts w:ascii="Times New Roman" w:hAnsi="Times New Roman"/>
          <w:b w:val="0"/>
          <w:i w:val="0"/>
          <w:color w:val="000000"/>
          <w:sz w:val="22"/>
        </w:rPr>
        <w:t>El Modelo de Cohortes Demográfico-Educativo Territorial (MCDE-T) respeta la dinámica real de los flujos escolares —promoción, repitencia y retiro— y permite construir series anuales consistentes 2024–2039 por sede y nivel educativo. La ecuación recursiva del modelo es:</w:t>
      </w:r>
    </w:p>
    <w:p>
      <w:pPr>
        <w:ind w:left="850" w:right="850"/>
      </w:pPr>
      <w:r>
        <w:rPr>
          <w:rFonts w:ascii="Times New Roman" w:hAnsi="Times New Roman"/>
          <w:i/>
          <w:color w:val="595959"/>
          <w:sz w:val="20"/>
        </w:rPr>
        <w:t>M(s, g, t+1) = M(s, g-1, t) · p_aprob + M(s, g, t) · p_rep − M(s, g, t) · p_retiro</w:t>
      </w:r>
    </w:p>
    <w:p>
      <w:pPr>
        <w:jc w:val="both"/>
      </w:pPr>
      <w:r>
        <w:rPr>
          <w:rFonts w:ascii="Times New Roman" w:hAnsi="Times New Roman"/>
          <w:b w:val="0"/>
          <w:i w:val="0"/>
          <w:color w:val="000000"/>
          <w:sz w:val="22"/>
        </w:rPr>
        <w:t>Para grados 1–11. Para preescolar:</w:t>
      </w:r>
    </w:p>
    <w:p>
      <w:pPr>
        <w:ind w:left="850" w:right="850"/>
      </w:pPr>
      <w:r>
        <w:rPr>
          <w:rFonts w:ascii="Times New Roman" w:hAnsi="Times New Roman"/>
          <w:i/>
          <w:color w:val="595959"/>
          <w:sz w:val="20"/>
        </w:rPr>
        <w:t>M(s, 0, t+1) = M(s, 0, t) · (1 − p_retiro + p_rep)</w:t>
      </w:r>
    </w:p>
    <w:p>
      <w:pPr>
        <w:jc w:val="both"/>
      </w:pPr>
      <w:r>
        <w:rPr>
          <w:rFonts w:ascii="Times New Roman" w:hAnsi="Times New Roman"/>
          <w:b w:val="0"/>
          <w:i w:val="0"/>
          <w:color w:val="000000"/>
          <w:sz w:val="22"/>
        </w:rPr>
        <w:t>Donde s indexa la sede, g el grado, t el año; p_aprob, p_rep y p_retiro son las probabilidades de promoción, repitencia y retiro respectivamente. El modelo opera con la restricción M ≥ 0 (no se admiten matrículas negativas).</w:t>
      </w:r>
    </w:p>
    <w:p>
      <w:pPr>
        <w:jc w:val="both"/>
      </w:pPr>
      <w:r>
        <w:rPr>
          <w:rFonts w:ascii="Times New Roman" w:hAnsi="Times New Roman"/>
          <w:b w:val="0"/>
          <w:i/>
          <w:color w:val="0F4761"/>
          <w:sz w:val="20"/>
        </w:rPr>
        <w:t>Tabla 7. Parámetros del modelo MCDE-T (escenario base).</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Parámetro</w:t>
            </w:r>
          </w:p>
        </w:tc>
        <w:tc>
          <w:tcPr>
            <w:tcW w:type="dxa" w:w="1417"/>
            <w:shd w:val="clear" w:color="auto" w:fill="0F4761"/>
            <w:vAlign w:val="center"/>
          </w:tcPr>
          <w:p>
            <w:pPr>
              <w:jc w:val="center"/>
            </w:pPr>
            <w:r/>
            <w:r>
              <w:rPr>
                <w:rFonts w:ascii="Times New Roman" w:hAnsi="Times New Roman"/>
                <w:b/>
                <w:color w:val="FFFFFF"/>
                <w:sz w:val="20"/>
              </w:rPr>
              <w:t>Símbolo</w:t>
            </w:r>
          </w:p>
        </w:tc>
        <w:tc>
          <w:tcPr>
            <w:tcW w:type="dxa" w:w="113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Interpretación</w:t>
            </w:r>
          </w:p>
        </w:tc>
      </w:tr>
      <w:tr>
        <w:tc>
          <w:tcPr>
            <w:tcW w:type="dxa" w:w="2835"/>
            <w:vAlign w:val="center"/>
          </w:tcPr>
          <w:p>
            <w:pPr>
              <w:jc w:val="left"/>
            </w:pPr>
            <w:r/>
            <w:r>
              <w:rPr>
                <w:rFonts w:ascii="Times New Roman" w:hAnsi="Times New Roman"/>
                <w:b w:val="0"/>
                <w:color w:val="000000"/>
                <w:sz w:val="20"/>
              </w:rPr>
              <w:t>Probabilidad de promoción</w:t>
            </w:r>
          </w:p>
        </w:tc>
        <w:tc>
          <w:tcPr>
            <w:tcW w:type="dxa" w:w="1417"/>
            <w:vAlign w:val="center"/>
          </w:tcPr>
          <w:p>
            <w:pPr>
              <w:jc w:val="left"/>
            </w:pPr>
            <w:r/>
            <w:r>
              <w:rPr>
                <w:rFonts w:ascii="Times New Roman" w:hAnsi="Times New Roman"/>
                <w:b w:val="0"/>
                <w:color w:val="000000"/>
                <w:sz w:val="20"/>
              </w:rPr>
              <w:t>p_aprob</w:t>
            </w:r>
          </w:p>
        </w:tc>
        <w:tc>
          <w:tcPr>
            <w:tcW w:type="dxa" w:w="1134"/>
            <w:vAlign w:val="center"/>
          </w:tcPr>
          <w:p>
            <w:pPr>
              <w:jc w:val="right"/>
            </w:pPr>
            <w:r/>
            <w:r>
              <w:rPr>
                <w:rFonts w:ascii="Times New Roman" w:hAnsi="Times New Roman"/>
                <w:b w:val="0"/>
                <w:color w:val="000000"/>
                <w:sz w:val="20"/>
              </w:rPr>
              <w:t>0,90</w:t>
            </w:r>
          </w:p>
        </w:tc>
        <w:tc>
          <w:tcPr>
            <w:tcW w:type="dxa" w:w="3969"/>
            <w:vAlign w:val="center"/>
          </w:tcPr>
          <w:p>
            <w:pPr>
              <w:jc w:val="left"/>
            </w:pPr>
            <w:r/>
            <w:r>
              <w:rPr>
                <w:rFonts w:ascii="Times New Roman" w:hAnsi="Times New Roman"/>
                <w:b w:val="0"/>
                <w:color w:val="000000"/>
                <w:sz w:val="20"/>
              </w:rPr>
              <w:t>Aprueba y avanza al grado siguiente.</w:t>
            </w:r>
          </w:p>
        </w:tc>
      </w:tr>
      <w:tr>
        <w:tc>
          <w:tcPr>
            <w:tcW w:type="dxa" w:w="2835"/>
            <w:vAlign w:val="center"/>
          </w:tcPr>
          <w:p>
            <w:pPr>
              <w:jc w:val="left"/>
            </w:pPr>
            <w:r/>
            <w:r>
              <w:rPr>
                <w:rFonts w:ascii="Times New Roman" w:hAnsi="Times New Roman"/>
                <w:b w:val="0"/>
                <w:color w:val="000000"/>
                <w:sz w:val="20"/>
              </w:rPr>
              <w:t>Probabilidad de repitencia</w:t>
            </w:r>
          </w:p>
        </w:tc>
        <w:tc>
          <w:tcPr>
            <w:tcW w:type="dxa" w:w="1417"/>
            <w:vAlign w:val="center"/>
          </w:tcPr>
          <w:p>
            <w:pPr>
              <w:jc w:val="left"/>
            </w:pPr>
            <w:r/>
            <w:r>
              <w:rPr>
                <w:rFonts w:ascii="Times New Roman" w:hAnsi="Times New Roman"/>
                <w:b w:val="0"/>
                <w:color w:val="000000"/>
                <w:sz w:val="20"/>
              </w:rPr>
              <w:t>p_rep</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Reprueba y permanece en el mismo grado.</w:t>
            </w:r>
          </w:p>
        </w:tc>
      </w:tr>
      <w:tr>
        <w:tc>
          <w:tcPr>
            <w:tcW w:type="dxa" w:w="2835"/>
            <w:vAlign w:val="center"/>
          </w:tcPr>
          <w:p>
            <w:pPr>
              <w:jc w:val="left"/>
            </w:pPr>
            <w:r/>
            <w:r>
              <w:rPr>
                <w:rFonts w:ascii="Times New Roman" w:hAnsi="Times New Roman"/>
                <w:b w:val="0"/>
                <w:color w:val="000000"/>
                <w:sz w:val="20"/>
              </w:rPr>
              <w:t>Probabilidad de retiro</w:t>
            </w:r>
          </w:p>
        </w:tc>
        <w:tc>
          <w:tcPr>
            <w:tcW w:type="dxa" w:w="1417"/>
            <w:vAlign w:val="center"/>
          </w:tcPr>
          <w:p>
            <w:pPr>
              <w:jc w:val="left"/>
            </w:pPr>
            <w:r/>
            <w:r>
              <w:rPr>
                <w:rFonts w:ascii="Times New Roman" w:hAnsi="Times New Roman"/>
                <w:b w:val="0"/>
                <w:color w:val="000000"/>
                <w:sz w:val="20"/>
              </w:rPr>
              <w:t>p_retiro</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Abandona el sistema educativo oficial.</w:t>
            </w:r>
          </w:p>
        </w:tc>
      </w:tr>
    </w:tbl>
    <w:p>
      <w:pPr>
        <w:jc w:val="both"/>
      </w:pPr>
      <w:r>
        <w:rPr>
          <w:rFonts w:ascii="Times New Roman" w:hAnsi="Times New Roman"/>
          <w:b w:val="0"/>
          <w:i/>
          <w:color w:val="747474"/>
          <w:sz w:val="18"/>
        </w:rPr>
        <w:t>Fuente: DANE-CNPV 2018 (actualización agosto 2025) · análisis MCDE-T de la Subsecretaría de Planeación Sectorial. Factor acumulado 2024–2039: −10,4%. Matrícula proyectada 2039: 126.720 estudiantes.</w:t>
      </w:r>
    </w:p>
    <w:p>
      <w:r>
        <w:br w:type="page"/>
      </w:r>
    </w:p>
    <w:p>
      <w:pPr>
        <w:jc w:val="center"/>
      </w:pPr>
      <w:r>
        <w:rPr>
          <w:rFonts w:ascii="Times New Roman" w:hAnsi="Times New Roman"/>
          <w:b/>
          <w:color w:val="0F4761"/>
          <w:sz w:val="20"/>
        </w:rPr>
        <w:t>Figura 8. Proyección de matrícula oficial 2024–2039 (Modelo MCDE-T).</w:t>
      </w:r>
    </w:p>
    <w:p>
      <w:pPr>
        <w:jc w:val="center"/>
      </w:pPr>
      <w:r>
        <w:drawing>
          <wp:inline xmlns:a="http://schemas.openxmlformats.org/drawingml/2006/main" xmlns:pic="http://schemas.openxmlformats.org/drawingml/2006/picture">
            <wp:extent cx="5400000" cy="2656275"/>
            <wp:docPr id="7" name="Picture 7"/>
            <wp:cNvGraphicFramePr>
              <a:graphicFrameLocks noChangeAspect="1"/>
            </wp:cNvGraphicFramePr>
            <a:graphic>
              <a:graphicData uri="http://schemas.openxmlformats.org/drawingml/2006/picture">
                <pic:pic>
                  <pic:nvPicPr>
                    <pic:cNvPr id="0" name="G13_proyeccion_matricula.png"/>
                    <pic:cNvPicPr/>
                  </pic:nvPicPr>
                  <pic:blipFill>
                    <a:blip r:embed="rId15"/>
                    <a:stretch>
                      <a:fillRect/>
                    </a:stretch>
                  </pic:blipFill>
                  <pic:spPr>
                    <a:xfrm>
                      <a:off x="0" y="0"/>
                      <a:ext cx="5400000" cy="2656275"/>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modelo MCDE-T (Cohortes Demográfico-Educativo Territorial) proyecta la matrícula por sede y nivel educativo aplicando probabilidades de promoción (90%), repitencia (5%) y retiro (5%), con datos demográficos del DANE-CNPV 2018 actualizados a 2025. La proyección indica una reducción acumulada del 10,4% entre 2024 y 2039 (CAGR −0,73% anual), consistente con la transición demográfica colombiana. El impacto sobre la brecha funcional es marginal porque la mayoría del déficit corresponde a sedes ya consolidadas. Sin embargo, esta proyección informa la priorización temporal de las intervenciones: las comunas con expansión demográfica (13, 14, 15, 16, 21) reciben mayor prioridad en Fase 1.</w:t>
      </w:r>
    </w:p>
    <w:p>
      <w:r>
        <w:rPr>
          <w:rFonts w:ascii="Times New Roman" w:hAnsi="Times New Roman"/>
          <w:b/>
          <w:color w:val="0F4761"/>
          <w:sz w:val="20"/>
        </w:rPr>
        <w:t>Indicadores clave:</w:t>
      </w:r>
    </w:p>
    <w:p>
      <w:pPr>
        <w:pStyle w:val="ListBullet"/>
      </w:pPr>
      <w:r>
        <w:rPr>
          <w:rFonts w:ascii="Times New Roman" w:hAnsi="Times New Roman"/>
          <w:sz w:val="20"/>
        </w:rPr>
        <w:t>Matrícula base 2024 (SIMAT): 141.414 estudiantes</w:t>
      </w:r>
    </w:p>
    <w:p>
      <w:pPr>
        <w:pStyle w:val="ListBullet"/>
      </w:pPr>
      <w:r>
        <w:rPr>
          <w:rFonts w:ascii="Times New Roman" w:hAnsi="Times New Roman"/>
          <w:sz w:val="20"/>
        </w:rPr>
        <w:t>Matrícula proyectada 2039: 126.720 estudiantes (−10,4%)</w:t>
      </w:r>
    </w:p>
    <w:p>
      <w:pPr>
        <w:pStyle w:val="ListBullet"/>
      </w:pPr>
      <w:r>
        <w:rPr>
          <w:rFonts w:ascii="Times New Roman" w:hAnsi="Times New Roman"/>
          <w:sz w:val="20"/>
        </w:rPr>
        <w:t>CAGR sectorial: −0,73% anual</w:t>
      </w:r>
    </w:p>
    <w:p>
      <w:pPr>
        <w:pStyle w:val="Heading1"/>
      </w:pPr>
      <w:r>
        <w:t>4. Caracterización del Sistema Educativo</w:t>
      </w:r>
    </w:p>
    <w:p>
      <w:pPr>
        <w:jc w:val="both"/>
      </w:pPr>
      <w:r>
        <w:rPr>
          <w:rFonts w:ascii="Times New Roman" w:hAnsi="Times New Roman"/>
          <w:b w:val="0"/>
          <w:i w:val="0"/>
          <w:color w:val="000000"/>
          <w:sz w:val="22"/>
        </w:rPr>
        <w:t>El sistema educativo oficial de Santiago de Cali comprende 338 sedes educativas distribuidas en 22 comunas urbanas y 15 corregimientos rurales. De este total, 316 sedes fueron objeto de levantamiento técnico completo en 2025 (93,5% de cobertura). Las 22 sedes no levantadas corresponden a sedes con matrícula nula al momento del trabajo de campo y serán objeto de validación en 2027.</w:t>
      </w:r>
    </w:p>
    <w:p>
      <w:pPr>
        <w:jc w:val="both"/>
      </w:pPr>
      <w:r>
        <w:rPr>
          <w:rFonts w:ascii="Times New Roman" w:hAnsi="Times New Roman"/>
          <w:b w:val="0"/>
          <w:i/>
          <w:color w:val="0F4761"/>
          <w:sz w:val="20"/>
        </w:rPr>
        <w:t>Tabla 8. Caracterización del sistema educativo distrital — variables base.</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Variable</w:t>
            </w:r>
          </w:p>
        </w:tc>
        <w:tc>
          <w:tcPr>
            <w:tcW w:type="dxa" w:w="198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Observaciones</w:t>
            </w:r>
          </w:p>
        </w:tc>
      </w:tr>
      <w:tr>
        <w:tc>
          <w:tcPr>
            <w:tcW w:type="dxa" w:w="3402"/>
            <w:vAlign w:val="center"/>
          </w:tcPr>
          <w:p>
            <w:pPr>
              <w:jc w:val="left"/>
            </w:pPr>
            <w:r/>
            <w:r>
              <w:rPr>
                <w:rFonts w:ascii="Times New Roman" w:hAnsi="Times New Roman"/>
                <w:b w:val="0"/>
                <w:color w:val="000000"/>
                <w:sz w:val="20"/>
              </w:rPr>
              <w:t>Total sedes del sistema</w:t>
            </w:r>
          </w:p>
        </w:tc>
        <w:tc>
          <w:tcPr>
            <w:tcW w:type="dxa" w:w="1984"/>
            <w:vAlign w:val="center"/>
          </w:tcPr>
          <w:p>
            <w:pPr>
              <w:jc w:val="right"/>
            </w:pPr>
            <w:r/>
            <w:r>
              <w:rPr>
                <w:rFonts w:ascii="Times New Roman" w:hAnsi="Times New Roman"/>
                <w:b w:val="0"/>
                <w:color w:val="000000"/>
                <w:sz w:val="20"/>
              </w:rPr>
              <w:t>338</w:t>
            </w:r>
          </w:p>
        </w:tc>
        <w:tc>
          <w:tcPr>
            <w:tcW w:type="dxa" w:w="3969"/>
            <w:vAlign w:val="center"/>
          </w:tcPr>
          <w:p>
            <w:pPr>
              <w:jc w:val="left"/>
            </w:pPr>
            <w:r/>
            <w:r>
              <w:rPr>
                <w:rFonts w:ascii="Times New Roman" w:hAnsi="Times New Roman"/>
                <w:b w:val="0"/>
                <w:color w:val="000000"/>
                <w:sz w:val="20"/>
              </w:rPr>
              <w:t>22 comunas urbanas + 15 corregimientos rurales</w:t>
            </w:r>
          </w:p>
        </w:tc>
      </w:tr>
      <w:tr>
        <w:tc>
          <w:tcPr>
            <w:tcW w:type="dxa" w:w="3402"/>
            <w:vAlign w:val="center"/>
          </w:tcPr>
          <w:p>
            <w:pPr>
              <w:jc w:val="left"/>
            </w:pPr>
            <w:r/>
            <w:r>
              <w:rPr>
                <w:rFonts w:ascii="Times New Roman" w:hAnsi="Times New Roman"/>
                <w:b w:val="0"/>
                <w:color w:val="000000"/>
                <w:sz w:val="20"/>
              </w:rPr>
              <w:t>Sedes con levantamiento 2025</w:t>
            </w:r>
          </w:p>
        </w:tc>
        <w:tc>
          <w:tcPr>
            <w:tcW w:type="dxa" w:w="1984"/>
            <w:vAlign w:val="center"/>
          </w:tcPr>
          <w:p>
            <w:pPr>
              <w:jc w:val="right"/>
            </w:pPr>
            <w:r/>
            <w:r>
              <w:rPr>
                <w:rFonts w:ascii="Times New Roman" w:hAnsi="Times New Roman"/>
                <w:b w:val="0"/>
                <w:color w:val="000000"/>
                <w:sz w:val="20"/>
              </w:rPr>
              <w:t>316</w:t>
            </w:r>
          </w:p>
        </w:tc>
        <w:tc>
          <w:tcPr>
            <w:tcW w:type="dxa" w:w="3969"/>
            <w:vAlign w:val="center"/>
          </w:tcPr>
          <w:p>
            <w:pPr>
              <w:jc w:val="left"/>
            </w:pPr>
            <w:r/>
            <w:r>
              <w:rPr>
                <w:rFonts w:ascii="Times New Roman" w:hAnsi="Times New Roman"/>
                <w:b w:val="0"/>
                <w:color w:val="000000"/>
                <w:sz w:val="20"/>
              </w:rPr>
              <w:t>93,5% de cobertura · base del PMIE 2026</w:t>
            </w:r>
          </w:p>
        </w:tc>
      </w:tr>
      <w:tr>
        <w:tc>
          <w:tcPr>
            <w:tcW w:type="dxa" w:w="3402"/>
            <w:vAlign w:val="center"/>
          </w:tcPr>
          <w:p>
            <w:pPr>
              <w:jc w:val="left"/>
            </w:pPr>
            <w:r/>
            <w:r>
              <w:rPr>
                <w:rFonts w:ascii="Times New Roman" w:hAnsi="Times New Roman"/>
                <w:b w:val="0"/>
                <w:color w:val="000000"/>
                <w:sz w:val="20"/>
              </w:rPr>
              <w:t>Sedes sin matrícula (SIN_MAT)</w:t>
            </w:r>
          </w:p>
        </w:tc>
        <w:tc>
          <w:tcPr>
            <w:tcW w:type="dxa" w:w="1984"/>
            <w:vAlign w:val="center"/>
          </w:tcPr>
          <w:p>
            <w:pPr>
              <w:jc w:val="right"/>
            </w:pPr>
            <w:r/>
            <w:r>
              <w:rPr>
                <w:rFonts w:ascii="Times New Roman" w:hAnsi="Times New Roman"/>
                <w:b w:val="0"/>
                <w:color w:val="000000"/>
                <w:sz w:val="20"/>
              </w:rPr>
              <w:t>23</w:t>
            </w:r>
          </w:p>
        </w:tc>
        <w:tc>
          <w:tcPr>
            <w:tcW w:type="dxa" w:w="3969"/>
            <w:vAlign w:val="center"/>
          </w:tcPr>
          <w:p>
            <w:pPr>
              <w:jc w:val="left"/>
            </w:pPr>
            <w:r/>
            <w:r>
              <w:rPr>
                <w:rFonts w:ascii="Times New Roman" w:hAnsi="Times New Roman"/>
                <w:b w:val="0"/>
                <w:color w:val="000000"/>
                <w:sz w:val="20"/>
              </w:rPr>
              <w:t>Pendientes de validación 2027–2028</w:t>
            </w:r>
          </w:p>
        </w:tc>
      </w:tr>
      <w:tr>
        <w:tc>
          <w:tcPr>
            <w:tcW w:type="dxa" w:w="3402"/>
            <w:vAlign w:val="center"/>
          </w:tcPr>
          <w:p>
            <w:pPr>
              <w:jc w:val="left"/>
            </w:pPr>
            <w:r/>
            <w:r>
              <w:rPr>
                <w:rFonts w:ascii="Times New Roman" w:hAnsi="Times New Roman"/>
                <w:b w:val="0"/>
                <w:color w:val="000000"/>
                <w:sz w:val="20"/>
              </w:rPr>
              <w:t>Matrícula oficial 2024 (SIMAT)</w:t>
            </w:r>
          </w:p>
        </w:tc>
        <w:tc>
          <w:tcPr>
            <w:tcW w:type="dxa" w:w="1984"/>
            <w:vAlign w:val="center"/>
          </w:tcPr>
          <w:p>
            <w:pPr>
              <w:jc w:val="right"/>
            </w:pPr>
            <w:r/>
            <w:r>
              <w:rPr>
                <w:rFonts w:ascii="Times New Roman" w:hAnsi="Times New Roman"/>
                <w:b w:val="0"/>
                <w:color w:val="000000"/>
                <w:sz w:val="20"/>
              </w:rPr>
              <w:t>141.414</w:t>
            </w:r>
          </w:p>
        </w:tc>
        <w:tc>
          <w:tcPr>
            <w:tcW w:type="dxa" w:w="3969"/>
            <w:vAlign w:val="center"/>
          </w:tcPr>
          <w:p>
            <w:pPr>
              <w:jc w:val="left"/>
            </w:pPr>
            <w:r/>
            <w:r>
              <w:rPr>
                <w:rFonts w:ascii="Times New Roman" w:hAnsi="Times New Roman"/>
                <w:b w:val="0"/>
                <w:color w:val="000000"/>
                <w:sz w:val="20"/>
              </w:rPr>
              <w:t>Estudiantes en el sistema educativo distrital</w:t>
            </w:r>
          </w:p>
        </w:tc>
      </w:tr>
      <w:tr>
        <w:tc>
          <w:tcPr>
            <w:tcW w:type="dxa" w:w="3402"/>
            <w:vAlign w:val="center"/>
          </w:tcPr>
          <w:p>
            <w:pPr>
              <w:jc w:val="left"/>
            </w:pPr>
            <w:r/>
            <w:r>
              <w:rPr>
                <w:rFonts w:ascii="Times New Roman" w:hAnsi="Times New Roman"/>
                <w:b w:val="0"/>
                <w:color w:val="000000"/>
                <w:sz w:val="20"/>
              </w:rPr>
              <w:t>Matrícula oficial 2026 (SIMAT)</w:t>
            </w:r>
          </w:p>
        </w:tc>
        <w:tc>
          <w:tcPr>
            <w:tcW w:type="dxa" w:w="1984"/>
            <w:vAlign w:val="center"/>
          </w:tcPr>
          <w:p>
            <w:pPr>
              <w:jc w:val="left"/>
            </w:pPr>
            <w:r/>
            <w:r>
              <w:rPr>
                <w:rFonts w:ascii="Times New Roman" w:hAnsi="Times New Roman"/>
                <w:b w:val="0"/>
                <w:color w:val="000000"/>
                <w:sz w:val="20"/>
              </w:rPr>
              <w:t>pendiente</w:t>
            </w:r>
          </w:p>
        </w:tc>
        <w:tc>
          <w:tcPr>
            <w:tcW w:type="dxa" w:w="3969"/>
            <w:vAlign w:val="center"/>
          </w:tcPr>
          <w:p>
            <w:pPr>
              <w:jc w:val="left"/>
            </w:pPr>
            <w:r/>
            <w:r>
              <w:rPr>
                <w:rFonts w:ascii="Times New Roman" w:hAnsi="Times New Roman"/>
                <w:b w:val="0"/>
                <w:color w:val="000000"/>
                <w:sz w:val="20"/>
              </w:rPr>
              <w:t>Carga prevista 2026 — actualización al PMIE</w:t>
            </w:r>
          </w:p>
        </w:tc>
      </w:tr>
      <w:tr>
        <w:tc>
          <w:tcPr>
            <w:tcW w:type="dxa" w:w="3402"/>
            <w:vAlign w:val="center"/>
          </w:tcPr>
          <w:p>
            <w:pPr>
              <w:jc w:val="left"/>
            </w:pPr>
            <w:r/>
            <w:r>
              <w:rPr>
                <w:rFonts w:ascii="Times New Roman" w:hAnsi="Times New Roman"/>
                <w:b w:val="0"/>
                <w:color w:val="000000"/>
                <w:sz w:val="20"/>
              </w:rPr>
              <w:t>Matrícula NO OFICIAL 2024</w:t>
            </w:r>
          </w:p>
        </w:tc>
        <w:tc>
          <w:tcPr>
            <w:tcW w:type="dxa" w:w="1984"/>
            <w:vAlign w:val="center"/>
          </w:tcPr>
          <w:p>
            <w:pPr>
              <w:jc w:val="right"/>
            </w:pPr>
            <w:r/>
            <w:r>
              <w:rPr>
                <w:rFonts w:ascii="Times New Roman" w:hAnsi="Times New Roman"/>
                <w:b w:val="0"/>
                <w:color w:val="000000"/>
                <w:sz w:val="20"/>
              </w:rPr>
              <w:t>19.785</w:t>
            </w:r>
          </w:p>
        </w:tc>
        <w:tc>
          <w:tcPr>
            <w:tcW w:type="dxa" w:w="3969"/>
            <w:vAlign w:val="center"/>
          </w:tcPr>
          <w:p>
            <w:pPr>
              <w:jc w:val="left"/>
            </w:pPr>
            <w:r/>
            <w:r>
              <w:rPr>
                <w:rFonts w:ascii="Times New Roman" w:hAnsi="Times New Roman"/>
                <w:b w:val="0"/>
                <w:color w:val="000000"/>
                <w:sz w:val="20"/>
              </w:rPr>
              <w:t>Estudiantes en sedes privadas de cobertura del Distrito</w:t>
            </w:r>
          </w:p>
        </w:tc>
      </w:tr>
      <w:tr>
        <w:tc>
          <w:tcPr>
            <w:tcW w:type="dxa" w:w="3402"/>
            <w:vAlign w:val="center"/>
          </w:tcPr>
          <w:p>
            <w:pPr>
              <w:jc w:val="left"/>
            </w:pPr>
            <w:r/>
            <w:r>
              <w:rPr>
                <w:rFonts w:ascii="Times New Roman" w:hAnsi="Times New Roman"/>
                <w:b w:val="0"/>
                <w:color w:val="000000"/>
                <w:sz w:val="20"/>
              </w:rPr>
              <w:t>Matrícula proyectada 2039 (MCDE-T)</w:t>
            </w:r>
          </w:p>
        </w:tc>
        <w:tc>
          <w:tcPr>
            <w:tcW w:type="dxa" w:w="1984"/>
            <w:vAlign w:val="center"/>
          </w:tcPr>
          <w:p>
            <w:pPr>
              <w:jc w:val="right"/>
            </w:pPr>
            <w:r/>
            <w:r>
              <w:rPr>
                <w:rFonts w:ascii="Times New Roman" w:hAnsi="Times New Roman"/>
                <w:b w:val="0"/>
                <w:color w:val="000000"/>
                <w:sz w:val="20"/>
              </w:rPr>
              <w:t>126.720</w:t>
            </w:r>
          </w:p>
        </w:tc>
        <w:tc>
          <w:tcPr>
            <w:tcW w:type="dxa" w:w="3969"/>
            <w:vAlign w:val="center"/>
          </w:tcPr>
          <w:p>
            <w:pPr>
              <w:jc w:val="left"/>
            </w:pPr>
            <w:r/>
            <w:r>
              <w:rPr>
                <w:rFonts w:ascii="Times New Roman" w:hAnsi="Times New Roman"/>
                <w:b w:val="0"/>
                <w:color w:val="000000"/>
                <w:sz w:val="20"/>
              </w:rPr>
              <w:t>Reducción de 10,4% respecto a 2024</w:t>
            </w:r>
          </w:p>
        </w:tc>
      </w:tr>
      <w:tr>
        <w:tc>
          <w:tcPr>
            <w:tcW w:type="dxa" w:w="3402"/>
            <w:vAlign w:val="center"/>
          </w:tcPr>
          <w:p>
            <w:pPr>
              <w:jc w:val="left"/>
            </w:pPr>
            <w:r/>
            <w:r>
              <w:rPr>
                <w:rFonts w:ascii="Times New Roman" w:hAnsi="Times New Roman"/>
                <w:b w:val="0"/>
                <w:color w:val="000000"/>
                <w:sz w:val="20"/>
              </w:rPr>
              <w:t>Comunas con expansión demográfica</w:t>
            </w:r>
          </w:p>
        </w:tc>
        <w:tc>
          <w:tcPr>
            <w:tcW w:type="dxa" w:w="1984"/>
            <w:vAlign w:val="center"/>
          </w:tcPr>
          <w:p>
            <w:pPr>
              <w:jc w:val="right"/>
            </w:pPr>
            <w:r/>
            <w:r>
              <w:rPr>
                <w:rFonts w:ascii="Times New Roman" w:hAnsi="Times New Roman"/>
                <w:b w:val="0"/>
                <w:color w:val="000000"/>
                <w:sz w:val="20"/>
              </w:rPr>
              <w:t>5</w:t>
            </w:r>
          </w:p>
        </w:tc>
        <w:tc>
          <w:tcPr>
            <w:tcW w:type="dxa" w:w="3969"/>
            <w:vAlign w:val="center"/>
          </w:tcPr>
          <w:p>
            <w:pPr>
              <w:jc w:val="left"/>
            </w:pPr>
            <w:r/>
            <w:r>
              <w:rPr>
                <w:rFonts w:ascii="Times New Roman" w:hAnsi="Times New Roman"/>
                <w:b w:val="0"/>
                <w:color w:val="000000"/>
                <w:sz w:val="20"/>
              </w:rPr>
              <w:t>Comunas 13, 14, 15, 16 y 21</w:t>
            </w:r>
          </w:p>
        </w:tc>
      </w:tr>
      <w:tr>
        <w:tc>
          <w:tcPr>
            <w:tcW w:type="dxa" w:w="3402"/>
            <w:vAlign w:val="center"/>
          </w:tcPr>
          <w:p>
            <w:pPr>
              <w:jc w:val="left"/>
            </w:pPr>
            <w:r/>
            <w:r>
              <w:rPr>
                <w:rFonts w:ascii="Times New Roman" w:hAnsi="Times New Roman"/>
                <w:b w:val="0"/>
                <w:color w:val="000000"/>
                <w:sz w:val="20"/>
              </w:rPr>
              <w:t>Sedes rurales (15 corregimientos)</w:t>
            </w:r>
          </w:p>
        </w:tc>
        <w:tc>
          <w:tcPr>
            <w:tcW w:type="dxa" w:w="1984"/>
            <w:vAlign w:val="center"/>
          </w:tcPr>
          <w:p>
            <w:pPr>
              <w:jc w:val="left"/>
            </w:pPr>
            <w:r/>
            <w:r>
              <w:rPr>
                <w:rFonts w:ascii="Times New Roman" w:hAnsi="Times New Roman"/>
                <w:b w:val="0"/>
                <w:color w:val="000000"/>
                <w:sz w:val="20"/>
              </w:rPr>
              <w:t>~37</w:t>
            </w:r>
          </w:p>
        </w:tc>
        <w:tc>
          <w:tcPr>
            <w:tcW w:type="dxa" w:w="3969"/>
            <w:vAlign w:val="center"/>
          </w:tcPr>
          <w:p>
            <w:pPr>
              <w:jc w:val="left"/>
            </w:pPr>
            <w:r/>
            <w:r>
              <w:rPr>
                <w:rFonts w:ascii="Times New Roman" w:hAnsi="Times New Roman"/>
                <w:b w:val="0"/>
                <w:color w:val="000000"/>
                <w:sz w:val="20"/>
              </w:rPr>
              <w:t>Atendidas por programas P1, P4 y P3</w:t>
            </w:r>
          </w:p>
        </w:tc>
      </w:tr>
    </w:tbl>
    <w:p>
      <w:r>
        <w:br w:type="page"/>
      </w:r>
    </w:p>
    <w:p>
      <w:pPr>
        <w:pStyle w:val="Heading1"/>
      </w:pPr>
      <w:r>
        <w:t>5. Resultados del Diagnóstico</w:t>
      </w:r>
    </w:p>
    <w:p>
      <w:pPr>
        <w:pStyle w:val="Heading2"/>
      </w:pPr>
      <w:r>
        <w:t>5.1 Diagnóstico estructural NSR-10</w:t>
      </w:r>
    </w:p>
    <w:p>
      <w:pPr>
        <w:jc w:val="both"/>
      </w:pPr>
      <w:r>
        <w:rPr>
          <w:rFonts w:ascii="Times New Roman" w:hAnsi="Times New Roman"/>
          <w:b w:val="0"/>
          <w:i w:val="0"/>
          <w:color w:val="000000"/>
          <w:sz w:val="22"/>
        </w:rPr>
        <w:t>El diagnóstico estructural —conforme a la metodología del Título A.10 de la NSR-10— clasificó cada sede según su nivel de cumplimiento de la norma sismo-resistente. El parámetro principal es el ratio entre el daño esperado bajo el escenario Sismo de Diseño (Aa=0,25g) y el Valor de Reposición de la edificación. Las patologías más frecuentes son: ausencia de riostras y reforzamientos en muros de mampostería; falta de dilataciones entre bloques adosados; deficiencias en confinamientos verticales y horizontales; cubiertas con anclajes inadecuados; y materiales degradados por humedad o corrosión.</w:t>
      </w:r>
    </w:p>
    <w:p>
      <w:pPr>
        <w:jc w:val="both"/>
      </w:pPr>
      <w:r>
        <w:rPr>
          <w:rFonts w:ascii="Times New Roman" w:hAnsi="Times New Roman"/>
          <w:b w:val="0"/>
          <w:i/>
          <w:color w:val="0F4761"/>
          <w:sz w:val="20"/>
        </w:rPr>
        <w:t>Tabla 9. Clasificación de sedes por nivel de riesgo NSR-10 (escenario Sismo de Diseño).</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984"/>
            <w:shd w:val="clear" w:color="auto" w:fill="0F4761"/>
            <w:vAlign w:val="center"/>
          </w:tcPr>
          <w:p>
            <w:pPr>
              <w:jc w:val="center"/>
            </w:pPr>
            <w:r/>
            <w:r>
              <w:rPr>
                <w:rFonts w:ascii="Times New Roman" w:hAnsi="Times New Roman"/>
                <w:b/>
                <w:color w:val="FFFFFF"/>
                <w:sz w:val="20"/>
              </w:rPr>
              <w:t>Nivel de riesgo NSR-10</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984"/>
            <w:shd w:val="clear" w:color="auto" w:fill="0F4761"/>
            <w:vAlign w:val="center"/>
          </w:tcPr>
          <w:p>
            <w:pPr>
              <w:jc w:val="center"/>
            </w:pPr>
            <w:r/>
            <w:r>
              <w:rPr>
                <w:rFonts w:ascii="Times New Roman" w:hAnsi="Times New Roman"/>
                <w:b/>
                <w:color w:val="FFFFFF"/>
                <w:sz w:val="20"/>
              </w:rPr>
              <w:t>Daño esperado</w:t>
            </w:r>
          </w:p>
        </w:tc>
        <w:tc>
          <w:tcPr>
            <w:tcW w:type="dxa" w:w="3118"/>
            <w:shd w:val="clear" w:color="auto" w:fill="0F4761"/>
            <w:vAlign w:val="center"/>
          </w:tcPr>
          <w:p>
            <w:pPr>
              <w:jc w:val="center"/>
            </w:pPr>
            <w:r/>
            <w:r>
              <w:rPr>
                <w:rFonts w:ascii="Times New Roman" w:hAnsi="Times New Roman"/>
                <w:b/>
                <w:color w:val="FFFFFF"/>
                <w:sz w:val="20"/>
              </w:rPr>
              <w:t>Programa PMIE asociado</w:t>
            </w:r>
          </w:p>
        </w:tc>
      </w:tr>
      <w:tr>
        <w:tc>
          <w:tcPr>
            <w:tcW w:type="dxa" w:w="1984"/>
            <w:vAlign w:val="center"/>
          </w:tcPr>
          <w:p>
            <w:pPr>
              <w:jc w:val="left"/>
            </w:pPr>
            <w:r/>
            <w:r>
              <w:rPr>
                <w:rFonts w:ascii="Times New Roman" w:hAnsi="Times New Roman"/>
                <w:b w:val="0"/>
                <w:color w:val="000000"/>
                <w:sz w:val="20"/>
              </w:rPr>
              <w:t>CRÍTICA</w:t>
            </w:r>
          </w:p>
        </w:tc>
        <w:tc>
          <w:tcPr>
            <w:tcW w:type="dxa" w:w="1020"/>
            <w:vAlign w:val="center"/>
          </w:tcPr>
          <w:p>
            <w:pPr>
              <w:jc w:val="right"/>
            </w:pPr>
            <w:r/>
            <w:r>
              <w:rPr>
                <w:rFonts w:ascii="Times New Roman" w:hAnsi="Times New Roman"/>
                <w:b w:val="0"/>
                <w:color w:val="000000"/>
                <w:sz w:val="20"/>
              </w:rPr>
              <w:t>108</w:t>
            </w:r>
          </w:p>
        </w:tc>
        <w:tc>
          <w:tcPr>
            <w:tcW w:type="dxa" w:w="850"/>
            <w:vAlign w:val="center"/>
          </w:tcPr>
          <w:p>
            <w:pPr>
              <w:jc w:val="right"/>
            </w:pPr>
            <w:r/>
            <w:r>
              <w:rPr>
                <w:rFonts w:ascii="Times New Roman" w:hAnsi="Times New Roman"/>
                <w:b w:val="0"/>
                <w:color w:val="000000"/>
                <w:sz w:val="20"/>
              </w:rPr>
              <w:t>34,2%</w:t>
            </w:r>
          </w:p>
        </w:tc>
        <w:tc>
          <w:tcPr>
            <w:tcW w:type="dxa" w:w="1984"/>
            <w:vAlign w:val="center"/>
          </w:tcPr>
          <w:p>
            <w:pPr>
              <w:jc w:val="left"/>
            </w:pPr>
            <w:r/>
            <w:r>
              <w:rPr>
                <w:rFonts w:ascii="Times New Roman" w:hAnsi="Times New Roman"/>
                <w:b w:val="0"/>
                <w:color w:val="000000"/>
                <w:sz w:val="20"/>
              </w:rPr>
              <w:t>≥ 50% del VR</w:t>
            </w:r>
          </w:p>
        </w:tc>
        <w:tc>
          <w:tcPr>
            <w:tcW w:type="dxa" w:w="3118"/>
            <w:vAlign w:val="center"/>
          </w:tcPr>
          <w:p>
            <w:pPr>
              <w:jc w:val="left"/>
            </w:pPr>
            <w:r/>
            <w:r>
              <w:rPr>
                <w:rFonts w:ascii="Times New Roman" w:hAnsi="Times New Roman"/>
                <w:b w:val="0"/>
                <w:color w:val="000000"/>
                <w:sz w:val="20"/>
              </w:rPr>
              <w:t>P2 vía N5 + P8 / P1 si N1a-SI</w:t>
            </w:r>
          </w:p>
        </w:tc>
      </w:tr>
      <w:tr>
        <w:tc>
          <w:tcPr>
            <w:tcW w:type="dxa" w:w="1984"/>
            <w:vAlign w:val="center"/>
          </w:tcPr>
          <w:p>
            <w:pPr>
              <w:jc w:val="left"/>
            </w:pPr>
            <w:r/>
            <w:r>
              <w:rPr>
                <w:rFonts w:ascii="Times New Roman" w:hAnsi="Times New Roman"/>
                <w:b w:val="0"/>
                <w:color w:val="000000"/>
                <w:sz w:val="20"/>
              </w:rPr>
              <w:t>MUY ALTA</w:t>
            </w:r>
          </w:p>
        </w:tc>
        <w:tc>
          <w:tcPr>
            <w:tcW w:type="dxa" w:w="1020"/>
            <w:vAlign w:val="center"/>
          </w:tcPr>
          <w:p>
            <w:pPr>
              <w:jc w:val="right"/>
            </w:pPr>
            <w:r/>
            <w:r>
              <w:rPr>
                <w:rFonts w:ascii="Times New Roman" w:hAnsi="Times New Roman"/>
                <w:b w:val="0"/>
                <w:color w:val="000000"/>
                <w:sz w:val="20"/>
              </w:rPr>
              <w:t>67</w:t>
            </w:r>
          </w:p>
        </w:tc>
        <w:tc>
          <w:tcPr>
            <w:tcW w:type="dxa" w:w="850"/>
            <w:vAlign w:val="center"/>
          </w:tcPr>
          <w:p>
            <w:pPr>
              <w:jc w:val="right"/>
            </w:pPr>
            <w:r/>
            <w:r>
              <w:rPr>
                <w:rFonts w:ascii="Times New Roman" w:hAnsi="Times New Roman"/>
                <w:b w:val="0"/>
                <w:color w:val="000000"/>
                <w:sz w:val="20"/>
              </w:rPr>
              <w:t>21,2%</w:t>
            </w:r>
          </w:p>
        </w:tc>
        <w:tc>
          <w:tcPr>
            <w:tcW w:type="dxa" w:w="1984"/>
            <w:vAlign w:val="center"/>
          </w:tcPr>
          <w:p>
            <w:pPr>
              <w:jc w:val="left"/>
            </w:pPr>
            <w:r/>
            <w:r>
              <w:rPr>
                <w:rFonts w:ascii="Times New Roman" w:hAnsi="Times New Roman"/>
                <w:b w:val="0"/>
                <w:color w:val="000000"/>
                <w:sz w:val="20"/>
              </w:rPr>
              <w:t>40–50% del VR</w:t>
            </w:r>
          </w:p>
        </w:tc>
        <w:tc>
          <w:tcPr>
            <w:tcW w:type="dxa" w:w="3118"/>
            <w:vAlign w:val="center"/>
          </w:tcPr>
          <w:p>
            <w:pPr>
              <w:jc w:val="left"/>
            </w:pPr>
            <w:r/>
            <w:r>
              <w:rPr>
                <w:rFonts w:ascii="Times New Roman" w:hAnsi="Times New Roman"/>
                <w:b w:val="0"/>
                <w:color w:val="000000"/>
                <w:sz w:val="20"/>
              </w:rPr>
              <w:t>P2 vía N5 + programa funcional</w:t>
            </w:r>
          </w:p>
        </w:tc>
      </w:tr>
      <w:tr>
        <w:tc>
          <w:tcPr>
            <w:tcW w:type="dxa" w:w="1984"/>
            <w:vAlign w:val="center"/>
          </w:tcPr>
          <w:p>
            <w:pPr>
              <w:jc w:val="left"/>
            </w:pPr>
            <w:r/>
            <w:r>
              <w:rPr>
                <w:rFonts w:ascii="Times New Roman" w:hAnsi="Times New Roman"/>
                <w:b w:val="0"/>
                <w:color w:val="000000"/>
                <w:sz w:val="20"/>
              </w:rPr>
              <w:t>ALTA</w:t>
            </w:r>
          </w:p>
        </w:tc>
        <w:tc>
          <w:tcPr>
            <w:tcW w:type="dxa" w:w="1020"/>
            <w:vAlign w:val="center"/>
          </w:tcPr>
          <w:p>
            <w:pPr>
              <w:jc w:val="right"/>
            </w:pPr>
            <w:r/>
            <w:r>
              <w:rPr>
                <w:rFonts w:ascii="Times New Roman" w:hAnsi="Times New Roman"/>
                <w:b w:val="0"/>
                <w:color w:val="000000"/>
                <w:sz w:val="20"/>
              </w:rPr>
              <w:t>69</w:t>
            </w:r>
          </w:p>
        </w:tc>
        <w:tc>
          <w:tcPr>
            <w:tcW w:type="dxa" w:w="850"/>
            <w:vAlign w:val="center"/>
          </w:tcPr>
          <w:p>
            <w:pPr>
              <w:jc w:val="right"/>
            </w:pPr>
            <w:r/>
            <w:r>
              <w:rPr>
                <w:rFonts w:ascii="Times New Roman" w:hAnsi="Times New Roman"/>
                <w:b w:val="0"/>
                <w:color w:val="000000"/>
                <w:sz w:val="20"/>
              </w:rPr>
              <w:t>21,8%</w:t>
            </w:r>
          </w:p>
        </w:tc>
        <w:tc>
          <w:tcPr>
            <w:tcW w:type="dxa" w:w="1984"/>
            <w:vAlign w:val="center"/>
          </w:tcPr>
          <w:p>
            <w:pPr>
              <w:jc w:val="left"/>
            </w:pPr>
            <w:r/>
            <w:r>
              <w:rPr>
                <w:rFonts w:ascii="Times New Roman" w:hAnsi="Times New Roman"/>
                <w:b w:val="0"/>
                <w:color w:val="000000"/>
                <w:sz w:val="20"/>
              </w:rPr>
              <w:t>30–40% del VR</w:t>
            </w:r>
          </w:p>
        </w:tc>
        <w:tc>
          <w:tcPr>
            <w:tcW w:type="dxa" w:w="3118"/>
            <w:vAlign w:val="center"/>
          </w:tcPr>
          <w:p>
            <w:pPr>
              <w:jc w:val="left"/>
            </w:pPr>
            <w:r/>
            <w:r>
              <w:rPr>
                <w:rFonts w:ascii="Times New Roman" w:hAnsi="Times New Roman"/>
                <w:b w:val="0"/>
                <w:color w:val="000000"/>
                <w:sz w:val="20"/>
              </w:rPr>
              <w:t>P3 (BE absorbida en adecuación)</w:t>
            </w:r>
          </w:p>
        </w:tc>
      </w:tr>
      <w:tr>
        <w:tc>
          <w:tcPr>
            <w:tcW w:type="dxa" w:w="1984"/>
            <w:vAlign w:val="center"/>
          </w:tcPr>
          <w:p>
            <w:pPr>
              <w:jc w:val="left"/>
            </w:pPr>
            <w:r/>
            <w:r>
              <w:rPr>
                <w:rFonts w:ascii="Times New Roman" w:hAnsi="Times New Roman"/>
                <w:b w:val="0"/>
                <w:color w:val="000000"/>
                <w:sz w:val="20"/>
              </w:rPr>
              <w:t>MEDIA</w:t>
            </w:r>
          </w:p>
        </w:tc>
        <w:tc>
          <w:tcPr>
            <w:tcW w:type="dxa" w:w="1020"/>
            <w:vAlign w:val="center"/>
          </w:tcPr>
          <w:p>
            <w:pPr>
              <w:jc w:val="right"/>
            </w:pPr>
            <w:r/>
            <w:r>
              <w:rPr>
                <w:rFonts w:ascii="Times New Roman" w:hAnsi="Times New Roman"/>
                <w:b w:val="0"/>
                <w:color w:val="000000"/>
                <w:sz w:val="20"/>
              </w:rPr>
              <w:t>20</w:t>
            </w:r>
          </w:p>
        </w:tc>
        <w:tc>
          <w:tcPr>
            <w:tcW w:type="dxa" w:w="850"/>
            <w:vAlign w:val="center"/>
          </w:tcPr>
          <w:p>
            <w:pPr>
              <w:jc w:val="right"/>
            </w:pPr>
            <w:r/>
            <w:r>
              <w:rPr>
                <w:rFonts w:ascii="Times New Roman" w:hAnsi="Times New Roman"/>
                <w:b w:val="0"/>
                <w:color w:val="000000"/>
                <w:sz w:val="20"/>
              </w:rPr>
              <w:t>6,3%</w:t>
            </w:r>
          </w:p>
        </w:tc>
        <w:tc>
          <w:tcPr>
            <w:tcW w:type="dxa" w:w="1984"/>
            <w:vAlign w:val="center"/>
          </w:tcPr>
          <w:p>
            <w:pPr>
              <w:jc w:val="left"/>
            </w:pPr>
            <w:r/>
            <w:r>
              <w:rPr>
                <w:rFonts w:ascii="Times New Roman" w:hAnsi="Times New Roman"/>
                <w:b w:val="0"/>
                <w:color w:val="000000"/>
                <w:sz w:val="20"/>
              </w:rPr>
              <w:t>15–30% del VR</w:t>
            </w:r>
          </w:p>
        </w:tc>
        <w:tc>
          <w:tcPr>
            <w:tcW w:type="dxa" w:w="3118"/>
            <w:vAlign w:val="center"/>
          </w:tcPr>
          <w:p>
            <w:pPr>
              <w:jc w:val="left"/>
            </w:pPr>
            <w:r/>
            <w:r>
              <w:rPr>
                <w:rFonts w:ascii="Times New Roman" w:hAnsi="Times New Roman"/>
                <w:b w:val="0"/>
                <w:color w:val="000000"/>
                <w:sz w:val="20"/>
              </w:rPr>
              <w:t>P3 con monitoreo</w:t>
            </w:r>
          </w:p>
        </w:tc>
      </w:tr>
      <w:tr>
        <w:tc>
          <w:tcPr>
            <w:tcW w:type="dxa" w:w="1984"/>
            <w:vAlign w:val="center"/>
          </w:tcPr>
          <w:p>
            <w:pPr>
              <w:jc w:val="left"/>
            </w:pPr>
            <w:r/>
            <w:r>
              <w:rPr>
                <w:rFonts w:ascii="Times New Roman" w:hAnsi="Times New Roman"/>
                <w:b w:val="0"/>
                <w:color w:val="000000"/>
                <w:sz w:val="20"/>
              </w:rPr>
              <w:t>BAJA</w:t>
            </w:r>
          </w:p>
        </w:tc>
        <w:tc>
          <w:tcPr>
            <w:tcW w:type="dxa" w:w="1020"/>
            <w:vAlign w:val="center"/>
          </w:tcPr>
          <w:p>
            <w:pPr>
              <w:jc w:val="right"/>
            </w:pPr>
            <w:r/>
            <w:r>
              <w:rPr>
                <w:rFonts w:ascii="Times New Roman" w:hAnsi="Times New Roman"/>
                <w:b w:val="0"/>
                <w:color w:val="000000"/>
                <w:sz w:val="20"/>
              </w:rPr>
              <w:t>45</w:t>
            </w:r>
          </w:p>
        </w:tc>
        <w:tc>
          <w:tcPr>
            <w:tcW w:type="dxa" w:w="850"/>
            <w:vAlign w:val="center"/>
          </w:tcPr>
          <w:p>
            <w:pPr>
              <w:jc w:val="right"/>
            </w:pPr>
            <w:r/>
            <w:r>
              <w:rPr>
                <w:rFonts w:ascii="Times New Roman" w:hAnsi="Times New Roman"/>
                <w:b w:val="0"/>
                <w:color w:val="000000"/>
                <w:sz w:val="20"/>
              </w:rPr>
              <w:t>14,2%</w:t>
            </w:r>
          </w:p>
        </w:tc>
        <w:tc>
          <w:tcPr>
            <w:tcW w:type="dxa" w:w="1984"/>
            <w:vAlign w:val="center"/>
          </w:tcPr>
          <w:p>
            <w:pPr>
              <w:jc w:val="left"/>
            </w:pPr>
            <w:r/>
            <w:r>
              <w:rPr>
                <w:rFonts w:ascii="Times New Roman" w:hAnsi="Times New Roman"/>
                <w:b w:val="0"/>
                <w:color w:val="000000"/>
                <w:sz w:val="20"/>
              </w:rPr>
              <w:t>&lt; 15% del VR</w:t>
            </w:r>
          </w:p>
        </w:tc>
        <w:tc>
          <w:tcPr>
            <w:tcW w:type="dxa" w:w="3118"/>
            <w:vAlign w:val="center"/>
          </w:tcPr>
          <w:p>
            <w:pPr>
              <w:jc w:val="left"/>
            </w:pPr>
            <w:r/>
            <w:r>
              <w:rPr>
                <w:rFonts w:ascii="Times New Roman" w:hAnsi="Times New Roman"/>
                <w:b w:val="0"/>
                <w:color w:val="000000"/>
                <w:sz w:val="20"/>
              </w:rPr>
              <w:t>Mantenimiento preventivo</w:t>
            </w:r>
          </w:p>
        </w:tc>
      </w:tr>
      <w:tr>
        <w:tc>
          <w:tcPr>
            <w:tcW w:type="dxa" w:w="1984"/>
            <w:vAlign w:val="center"/>
          </w:tcPr>
          <w:p>
            <w:pPr>
              <w:jc w:val="left"/>
            </w:pPr>
            <w:r/>
            <w:r>
              <w:rPr>
                <w:rFonts w:ascii="Times New Roman" w:hAnsi="Times New Roman"/>
                <w:b w:val="0"/>
                <w:color w:val="000000"/>
                <w:sz w:val="20"/>
              </w:rPr>
              <w:t>Sin clasificar</w:t>
            </w:r>
          </w:p>
        </w:tc>
        <w:tc>
          <w:tcPr>
            <w:tcW w:type="dxa" w:w="1020"/>
            <w:vAlign w:val="center"/>
          </w:tcPr>
          <w:p>
            <w:pPr>
              <w:jc w:val="right"/>
            </w:pPr>
            <w:r/>
            <w:r>
              <w:rPr>
                <w:rFonts w:ascii="Times New Roman" w:hAnsi="Times New Roman"/>
                <w:b w:val="0"/>
                <w:color w:val="000000"/>
                <w:sz w:val="20"/>
              </w:rPr>
              <w:t>7</w:t>
            </w:r>
          </w:p>
        </w:tc>
        <w:tc>
          <w:tcPr>
            <w:tcW w:type="dxa" w:w="850"/>
            <w:vAlign w:val="center"/>
          </w:tcPr>
          <w:p>
            <w:pPr>
              <w:jc w:val="right"/>
            </w:pPr>
            <w:r/>
            <w:r>
              <w:rPr>
                <w:rFonts w:ascii="Times New Roman" w:hAnsi="Times New Roman"/>
                <w:b w:val="0"/>
                <w:color w:val="000000"/>
                <w:sz w:val="20"/>
              </w:rPr>
              <w:t>2,2%</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Validación 2027</w:t>
            </w:r>
          </w:p>
        </w:tc>
      </w:tr>
      <w:tr>
        <w:tc>
          <w:tcPr>
            <w:tcW w:type="dxa" w:w="1984"/>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w:t>
            </w:r>
          </w:p>
        </w:tc>
      </w:tr>
    </w:tbl>
    <w:p>
      <w:pPr>
        <w:jc w:val="both"/>
      </w:pPr>
      <w:r>
        <w:rPr>
          <w:rFonts w:ascii="Times New Roman" w:hAnsi="Times New Roman"/>
          <w:b w:val="0"/>
          <w:i/>
          <w:color w:val="747474"/>
          <w:sz w:val="18"/>
        </w:rPr>
        <w:t>Fuente: Archivo PMIE2026_BRECHA_ESTRUCTURAL.xlsx · evaluación por bloques sobre 1.480 bloques en 312 sedes (4 sedes consolidadas). 175 sedes (55,4%) requieren intervención estructural prioritaria (CRÍTICA + MUY ALTA), activando el Nodo N5 del árbol de decisión.</w:t>
      </w:r>
    </w:p>
    <w:p>
      <w:pPr>
        <w:jc w:val="center"/>
      </w:pPr>
      <w:r>
        <w:rPr>
          <w:rFonts w:ascii="Times New Roman" w:hAnsi="Times New Roman"/>
          <w:b/>
          <w:color w:val="0F4761"/>
          <w:sz w:val="20"/>
        </w:rPr>
        <w:t>Figura 2. Distribución de sedes por nivel de riesgo sísmico NSR-10.</w:t>
      </w:r>
    </w:p>
    <w:p>
      <w:pPr>
        <w:jc w:val="center"/>
      </w:pPr>
      <w:r>
        <w:drawing>
          <wp:inline xmlns:a="http://schemas.openxmlformats.org/drawingml/2006/main" xmlns:pic="http://schemas.openxmlformats.org/drawingml/2006/picture">
            <wp:extent cx="5400000" cy="2987817"/>
            <wp:docPr id="1" name="Picture 1"/>
            <wp:cNvGraphicFramePr>
              <a:graphicFrameLocks noChangeAspect="1"/>
            </wp:cNvGraphicFramePr>
            <a:graphic>
              <a:graphicData uri="http://schemas.openxmlformats.org/drawingml/2006/picture">
                <pic:pic>
                  <pic:nvPicPr>
                    <pic:cNvPr id="0" name="G1_riesgo_NSR10.png"/>
                    <pic:cNvPicPr/>
                  </pic:nvPicPr>
                  <pic:blipFill>
                    <a:blip r:embed="rId9"/>
                    <a:stretch>
                      <a:fillRect/>
                    </a:stretch>
                  </pic:blipFill>
                  <pic:spPr>
                    <a:xfrm>
                      <a:off x="0" y="0"/>
                      <a:ext cx="5400000" cy="2987817"/>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nivel de riesgo sísmico clasifica cada sede según el ratio entre el daño esperado bajo el escenario Sismo de Diseño (Aa=0,25g) y el Valor de Reposición de la edificación. Las categorías CRÍTICA (≥50% VR) y MUY ALTA (40–50% VR) agrupan 175 sedes (55,4%) que requieren intervención prioritaria por riesgo estructural. Estas sedes activan el Nodo N5 del árbol de decisión y reciben asignación al Programa P2 (Reforzamiento Estructural Prioritario), aplicado simultáneamente con el programa funcional correspondiente. Las categorías ALTA, MEDIA y BAJA tratan la Brecha Estructural como parte de la adecuación funcional (BE absorbida en P3) sin requerir P2 separado.</w:t>
      </w:r>
    </w:p>
    <w:p>
      <w:r>
        <w:rPr>
          <w:rFonts w:ascii="Times New Roman" w:hAnsi="Times New Roman"/>
          <w:b/>
          <w:color w:val="0F4761"/>
          <w:sz w:val="20"/>
        </w:rPr>
        <w:t>Indicadores clave:</w:t>
      </w:r>
    </w:p>
    <w:p>
      <w:pPr>
        <w:pStyle w:val="ListBullet"/>
      </w:pPr>
      <w:r>
        <w:rPr>
          <w:rFonts w:ascii="Times New Roman" w:hAnsi="Times New Roman"/>
          <w:sz w:val="20"/>
        </w:rPr>
        <w:t>175 sedes con urgencia CRÍTICA o MUY ALTA (55,4%) → Programa P2 obligatorio</w:t>
      </w:r>
    </w:p>
    <w:p>
      <w:pPr>
        <w:pStyle w:val="ListBullet"/>
      </w:pPr>
      <w:r>
        <w:rPr>
          <w:rFonts w:ascii="Times New Roman" w:hAnsi="Times New Roman"/>
          <w:sz w:val="20"/>
        </w:rPr>
        <w:t>$796 MM COP en Brecha Estructural total (4,1% del Plan)</w:t>
      </w:r>
    </w:p>
    <w:p>
      <w:pPr>
        <w:pStyle w:val="ListBullet"/>
      </w:pPr>
      <w:r>
        <w:rPr>
          <w:rFonts w:ascii="Times New Roman" w:hAnsi="Times New Roman"/>
          <w:sz w:val="20"/>
        </w:rPr>
        <w:t>Escenario sísmico de diseño: Aa=0,25g — Cali en zona de amenaza sísmica alta</w:t>
      </w:r>
    </w:p>
    <w:p>
      <w:pPr>
        <w:pStyle w:val="Heading2"/>
      </w:pPr>
      <w:r>
        <w:t>5.2 Diagnóstico funcional NTC 4595</w:t>
      </w:r>
    </w:p>
    <w:p>
      <w:pPr>
        <w:jc w:val="both"/>
      </w:pPr>
      <w:r>
        <w:rPr>
          <w:rFonts w:ascii="Times New Roman" w:hAnsi="Times New Roman"/>
          <w:b w:val="0"/>
          <w:i w:val="0"/>
          <w:color w:val="000000"/>
          <w:sz w:val="22"/>
        </w:rPr>
        <w:t>El índice sintético de cumplimiento NTC 4595 integra existencia, área y calificación de calidad de 23 tipologías de espacios pedagógicos. Su fórmula formal es:</w:t>
      </w:r>
    </w:p>
    <w:p>
      <w:pPr>
        <w:ind w:left="850" w:right="850"/>
      </w:pPr>
      <w:r>
        <w:rPr>
          <w:rFonts w:ascii="Times New Roman" w:hAnsi="Times New Roman"/>
          <w:i/>
          <w:color w:val="595959"/>
          <w:sz w:val="20"/>
        </w:rPr>
        <w:t>Índice_NTC = Σᵢ (Áreaᵢ × Calidadᵢ × Ponderaciónᵢ) / (Σᵢ Áreaᵢ_norma × 4,0)</w:t>
      </w:r>
    </w:p>
    <w:p>
      <w:pPr>
        <w:jc w:val="both"/>
      </w:pPr>
      <w:r>
        <w:rPr>
          <w:rFonts w:ascii="Times New Roman" w:hAnsi="Times New Roman"/>
          <w:b w:val="0"/>
          <w:i w:val="0"/>
          <w:color w:val="000000"/>
          <w:sz w:val="22"/>
        </w:rPr>
        <w:t>Donde i ∈ {1..23} indexa las tipologías; Calidadᵢ ∈ [0, 4]; las ponderaciones se presentan en la Tabla 10.</w:t>
      </w:r>
    </w:p>
    <w:p>
      <w:pPr>
        <w:jc w:val="both"/>
      </w:pPr>
      <w:r>
        <w:rPr>
          <w:rFonts w:ascii="Times New Roman" w:hAnsi="Times New Roman"/>
          <w:b w:val="0"/>
          <w:i/>
          <w:color w:val="0F4761"/>
          <w:sz w:val="20"/>
        </w:rPr>
        <w:t>Tabla 10. Componentes y ponderaciones del Índice NTC 4595 (23 tipologías).</w:t>
      </w:r>
    </w:p>
    <w:tbl>
      <w:tblPr>
        <w:tblStyle w:val="LightGrid-Accent1"/>
        <w:tblW w:type="auto" w:w="0"/>
        <w:tblLook w:firstColumn="1" w:firstRow="1" w:lastColumn="0" w:lastRow="0" w:noHBand="0" w:noVBand="1" w:val="04A0"/>
      </w:tblPr>
      <w:tblGrid>
        <w:gridCol w:w="2280"/>
        <w:gridCol w:w="2280"/>
        <w:gridCol w:w="2280"/>
        <w:gridCol w:w="2280"/>
      </w:tblGrid>
      <w:tr>
        <w:tc>
          <w:tcPr>
            <w:tcW w:type="dxa" w:w="2551"/>
            <w:shd w:val="clear" w:color="auto" w:fill="0F4761"/>
            <w:vAlign w:val="center"/>
          </w:tcPr>
          <w:p>
            <w:pPr>
              <w:jc w:val="center"/>
            </w:pPr>
            <w:r/>
            <w:r>
              <w:rPr>
                <w:rFonts w:ascii="Times New Roman" w:hAnsi="Times New Roman"/>
                <w:b/>
                <w:color w:val="FFFFFF"/>
                <w:sz w:val="20"/>
              </w:rPr>
              <w:t>Tipología</w:t>
            </w:r>
          </w:p>
        </w:tc>
        <w:tc>
          <w:tcPr>
            <w:tcW w:type="dxa" w:w="1417"/>
            <w:shd w:val="clear" w:color="auto" w:fill="0F4761"/>
            <w:vAlign w:val="center"/>
          </w:tcPr>
          <w:p>
            <w:pPr>
              <w:jc w:val="center"/>
            </w:pPr>
            <w:r/>
            <w:r>
              <w:rPr>
                <w:rFonts w:ascii="Times New Roman" w:hAnsi="Times New Roman"/>
                <w:b/>
                <w:color w:val="FFFFFF"/>
                <w:sz w:val="20"/>
              </w:rPr>
              <w:t>Factor m²/est</w:t>
            </w:r>
          </w:p>
        </w:tc>
        <w:tc>
          <w:tcPr>
            <w:tcW w:type="dxa" w:w="850"/>
            <w:shd w:val="clear" w:color="auto" w:fill="0F4761"/>
            <w:vAlign w:val="center"/>
          </w:tcPr>
          <w:p>
            <w:pPr>
              <w:jc w:val="center"/>
            </w:pPr>
            <w:r/>
            <w:r>
              <w:rPr>
                <w:rFonts w:ascii="Times New Roman" w:hAnsi="Times New Roman"/>
                <w:b/>
                <w:color w:val="FFFFFF"/>
                <w:sz w:val="20"/>
              </w:rPr>
              <w:t>Prioridad</w:t>
            </w:r>
          </w:p>
        </w:tc>
        <w:tc>
          <w:tcPr>
            <w:tcW w:type="dxa" w:w="4535"/>
            <w:shd w:val="clear" w:color="auto" w:fill="0F4761"/>
            <w:vAlign w:val="center"/>
          </w:tcPr>
          <w:p>
            <w:pPr>
              <w:jc w:val="center"/>
            </w:pPr>
            <w:r/>
            <w:r>
              <w:rPr>
                <w:rFonts w:ascii="Times New Roman" w:hAnsi="Times New Roman"/>
                <w:b/>
                <w:color w:val="FFFFFF"/>
                <w:sz w:val="20"/>
              </w:rPr>
              <w:t>Justificación técnica</w:t>
            </w:r>
          </w:p>
        </w:tc>
      </w:tr>
      <w:tr>
        <w:tc>
          <w:tcPr>
            <w:tcW w:type="dxa" w:w="2551"/>
            <w:vAlign w:val="center"/>
          </w:tcPr>
          <w:p>
            <w:pPr>
              <w:jc w:val="left"/>
            </w:pPr>
            <w:r/>
            <w:r>
              <w:rPr>
                <w:rFonts w:ascii="Times New Roman" w:hAnsi="Times New Roman"/>
                <w:b w:val="0"/>
                <w:color w:val="000000"/>
                <w:sz w:val="20"/>
              </w:rPr>
              <w:t>Aulas</w:t>
            </w:r>
          </w:p>
        </w:tc>
        <w:tc>
          <w:tcPr>
            <w:tcW w:type="dxa" w:w="1417"/>
            <w:vAlign w:val="center"/>
          </w:tcPr>
          <w:p>
            <w:pPr>
              <w:jc w:val="right"/>
            </w:pPr>
            <w:r/>
            <w:r>
              <w:rPr>
                <w:rFonts w:ascii="Times New Roman" w:hAnsi="Times New Roman"/>
                <w:b w:val="0"/>
                <w:color w:val="000000"/>
                <w:sz w:val="20"/>
              </w:rPr>
              <w:t>1,65</w:t>
            </w:r>
          </w:p>
        </w:tc>
        <w:tc>
          <w:tcPr>
            <w:tcW w:type="dxa" w:w="850"/>
            <w:vAlign w:val="center"/>
          </w:tcPr>
          <w:p>
            <w:pPr>
              <w:jc w:val="right"/>
            </w:pPr>
            <w:r/>
            <w:r>
              <w:rPr>
                <w:rFonts w:ascii="Times New Roman" w:hAnsi="Times New Roman"/>
                <w:b w:val="0"/>
                <w:color w:val="000000"/>
                <w:sz w:val="20"/>
              </w:rPr>
              <w:t>25</w:t>
            </w:r>
          </w:p>
        </w:tc>
        <w:tc>
          <w:tcPr>
            <w:tcW w:type="dxa" w:w="4535"/>
            <w:vAlign w:val="center"/>
          </w:tcPr>
          <w:p>
            <w:pPr>
              <w:jc w:val="left"/>
            </w:pPr>
            <w:r/>
            <w:r>
              <w:rPr>
                <w:rFonts w:ascii="Times New Roman" w:hAnsi="Times New Roman"/>
                <w:b w:val="0"/>
                <w:color w:val="000000"/>
                <w:sz w:val="20"/>
              </w:rPr>
              <w:t>Núcleo del proceso pedagógico.</w:t>
            </w:r>
          </w:p>
        </w:tc>
      </w:tr>
      <w:tr>
        <w:tc>
          <w:tcPr>
            <w:tcW w:type="dxa" w:w="2551"/>
            <w:vAlign w:val="center"/>
          </w:tcPr>
          <w:p>
            <w:pPr>
              <w:jc w:val="left"/>
            </w:pPr>
            <w:r/>
            <w:r>
              <w:rPr>
                <w:rFonts w:ascii="Times New Roman" w:hAnsi="Times New Roman"/>
                <w:b w:val="0"/>
                <w:color w:val="000000"/>
                <w:sz w:val="20"/>
              </w:rPr>
              <w:t>Baños</w:t>
            </w:r>
          </w:p>
        </w:tc>
        <w:tc>
          <w:tcPr>
            <w:tcW w:type="dxa" w:w="1417"/>
            <w:vAlign w:val="center"/>
          </w:tcPr>
          <w:p>
            <w:pPr>
              <w:jc w:val="right"/>
            </w:pPr>
            <w:r/>
            <w:r>
              <w:rPr>
                <w:rFonts w:ascii="Times New Roman" w:hAnsi="Times New Roman"/>
                <w:b w:val="0"/>
                <w:color w:val="000000"/>
                <w:sz w:val="20"/>
              </w:rPr>
              <w:t>0,28</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Salubridad — NTC mínimo 1/30 estudiantes.</w:t>
            </w:r>
          </w:p>
        </w:tc>
      </w:tr>
      <w:tr>
        <w:tc>
          <w:tcPr>
            <w:tcW w:type="dxa" w:w="2551"/>
            <w:vAlign w:val="center"/>
          </w:tcPr>
          <w:p>
            <w:pPr>
              <w:jc w:val="left"/>
            </w:pPr>
            <w:r/>
            <w:r>
              <w:rPr>
                <w:rFonts w:ascii="Times New Roman" w:hAnsi="Times New Roman"/>
                <w:b w:val="0"/>
                <w:color w:val="000000"/>
                <w:sz w:val="20"/>
              </w:rPr>
              <w:t>Baño PMR</w:t>
            </w:r>
          </w:p>
        </w:tc>
        <w:tc>
          <w:tcPr>
            <w:tcW w:type="dxa" w:w="1417"/>
            <w:vAlign w:val="center"/>
          </w:tcPr>
          <w:p>
            <w:pPr>
              <w:jc w:val="right"/>
            </w:pPr>
            <w:r/>
            <w:r>
              <w:rPr>
                <w:rFonts w:ascii="Times New Roman" w:hAnsi="Times New Roman"/>
                <w:b w:val="0"/>
                <w:color w:val="000000"/>
                <w:sz w:val="20"/>
              </w:rPr>
              <w:t>0,07</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Accesibilidad universal — Decreto 1421.</w:t>
            </w:r>
          </w:p>
        </w:tc>
      </w:tr>
      <w:tr>
        <w:tc>
          <w:tcPr>
            <w:tcW w:type="dxa" w:w="2551"/>
            <w:vAlign w:val="center"/>
          </w:tcPr>
          <w:p>
            <w:pPr>
              <w:jc w:val="left"/>
            </w:pPr>
            <w:r/>
            <w:r>
              <w:rPr>
                <w:rFonts w:ascii="Times New Roman" w:hAnsi="Times New Roman"/>
                <w:b w:val="0"/>
                <w:color w:val="000000"/>
                <w:sz w:val="20"/>
              </w:rPr>
              <w:t>Sala Sistemas</w:t>
            </w:r>
          </w:p>
        </w:tc>
        <w:tc>
          <w:tcPr>
            <w:tcW w:type="dxa" w:w="1417"/>
            <w:vAlign w:val="center"/>
          </w:tcPr>
          <w:p>
            <w:pPr>
              <w:jc w:val="right"/>
            </w:pPr>
            <w:r/>
            <w:r>
              <w:rPr>
                <w:rFonts w:ascii="Times New Roman" w:hAnsi="Times New Roman"/>
                <w:b w:val="0"/>
                <w:color w:val="000000"/>
                <w:sz w:val="20"/>
              </w:rPr>
              <w:t>0,25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Acceso TIC — brecha crítica zonas vulnerables.</w:t>
            </w:r>
          </w:p>
        </w:tc>
      </w:tr>
      <w:tr>
        <w:tc>
          <w:tcPr>
            <w:tcW w:type="dxa" w:w="2551"/>
            <w:vAlign w:val="center"/>
          </w:tcPr>
          <w:p>
            <w:pPr>
              <w:jc w:val="left"/>
            </w:pPr>
            <w:r/>
            <w:r>
              <w:rPr>
                <w:rFonts w:ascii="Times New Roman" w:hAnsi="Times New Roman"/>
                <w:b w:val="0"/>
                <w:color w:val="000000"/>
                <w:sz w:val="20"/>
              </w:rPr>
              <w:t>Comedor</w:t>
            </w:r>
          </w:p>
        </w:tc>
        <w:tc>
          <w:tcPr>
            <w:tcW w:type="dxa" w:w="1417"/>
            <w:vAlign w:val="center"/>
          </w:tcPr>
          <w:p>
            <w:pPr>
              <w:jc w:val="right"/>
            </w:pPr>
            <w:r/>
            <w:r>
              <w:rPr>
                <w:rFonts w:ascii="Times New Roman" w:hAnsi="Times New Roman"/>
                <w:b w:val="0"/>
                <w:color w:val="000000"/>
                <w:sz w:val="20"/>
              </w:rPr>
              <w:t>0,50</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Programa de Alimentación Escolar (PAE).</w:t>
            </w:r>
          </w:p>
        </w:tc>
      </w:tr>
      <w:tr>
        <w:tc>
          <w:tcPr>
            <w:tcW w:type="dxa" w:w="2551"/>
            <w:vAlign w:val="center"/>
          </w:tcPr>
          <w:p>
            <w:pPr>
              <w:jc w:val="left"/>
            </w:pPr>
            <w:r/>
            <w:r>
              <w:rPr>
                <w:rFonts w:ascii="Times New Roman" w:hAnsi="Times New Roman"/>
                <w:b w:val="0"/>
                <w:color w:val="000000"/>
                <w:sz w:val="20"/>
              </w:rPr>
              <w:t>Cocina</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Apoyo al PAE — preparación in situ.</w:t>
            </w:r>
          </w:p>
        </w:tc>
      </w:tr>
      <w:tr>
        <w:tc>
          <w:tcPr>
            <w:tcW w:type="dxa" w:w="2551"/>
            <w:vAlign w:val="center"/>
          </w:tcPr>
          <w:p>
            <w:pPr>
              <w:jc w:val="left"/>
            </w:pPr>
            <w:r/>
            <w:r>
              <w:rPr>
                <w:rFonts w:ascii="Times New Roman" w:hAnsi="Times New Roman"/>
                <w:b w:val="0"/>
                <w:color w:val="000000"/>
                <w:sz w:val="20"/>
              </w:rPr>
              <w:t>Biblioteca/CRA</w:t>
            </w:r>
          </w:p>
        </w:tc>
        <w:tc>
          <w:tcPr>
            <w:tcW w:type="dxa" w:w="1417"/>
            <w:vAlign w:val="center"/>
          </w:tcPr>
          <w:p>
            <w:pPr>
              <w:jc w:val="right"/>
            </w:pPr>
            <w:r/>
            <w:r>
              <w:rPr>
                <w:rFonts w:ascii="Times New Roman" w:hAnsi="Times New Roman"/>
                <w:b w:val="0"/>
                <w:color w:val="000000"/>
                <w:sz w:val="20"/>
              </w:rPr>
              <w:t>0,40</w:t>
            </w:r>
          </w:p>
        </w:tc>
        <w:tc>
          <w:tcPr>
            <w:tcW w:type="dxa" w:w="850"/>
            <w:vAlign w:val="center"/>
          </w:tcPr>
          <w:p>
            <w:pPr>
              <w:jc w:val="right"/>
            </w:pPr>
            <w:r/>
            <w:r>
              <w:rPr>
                <w:rFonts w:ascii="Times New Roman" w:hAnsi="Times New Roman"/>
                <w:b w:val="0"/>
                <w:color w:val="000000"/>
                <w:sz w:val="20"/>
              </w:rPr>
              <w:t>6</w:t>
            </w:r>
          </w:p>
        </w:tc>
        <w:tc>
          <w:tcPr>
            <w:tcW w:type="dxa" w:w="4535"/>
            <w:vAlign w:val="center"/>
          </w:tcPr>
          <w:p>
            <w:pPr>
              <w:jc w:val="left"/>
            </w:pPr>
            <w:r/>
            <w:r>
              <w:rPr>
                <w:rFonts w:ascii="Times New Roman" w:hAnsi="Times New Roman"/>
                <w:b w:val="0"/>
                <w:color w:val="000000"/>
                <w:sz w:val="20"/>
              </w:rPr>
              <w:t>Fomento de lectura y trabajo autónomo.</w:t>
            </w:r>
          </w:p>
        </w:tc>
      </w:tr>
      <w:tr>
        <w:tc>
          <w:tcPr>
            <w:tcW w:type="dxa" w:w="2551"/>
            <w:vAlign w:val="center"/>
          </w:tcPr>
          <w:p>
            <w:pPr>
              <w:jc w:val="left"/>
            </w:pPr>
            <w:r/>
            <w:r>
              <w:rPr>
                <w:rFonts w:ascii="Times New Roman" w:hAnsi="Times New Roman"/>
                <w:b w:val="0"/>
                <w:color w:val="000000"/>
                <w:sz w:val="20"/>
              </w:rPr>
              <w:t>Deporte</w:t>
            </w:r>
          </w:p>
        </w:tc>
        <w:tc>
          <w:tcPr>
            <w:tcW w:type="dxa" w:w="1417"/>
            <w:vAlign w:val="center"/>
          </w:tcPr>
          <w:p>
            <w:pPr>
              <w:jc w:val="right"/>
            </w:pPr>
            <w:r/>
            <w:r>
              <w:rPr>
                <w:rFonts w:ascii="Times New Roman" w:hAnsi="Times New Roman"/>
                <w:b w:val="0"/>
                <w:color w:val="000000"/>
                <w:sz w:val="20"/>
              </w:rPr>
              <w:t>0,30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Educación física — formación integral.</w:t>
            </w:r>
          </w:p>
        </w:tc>
      </w:tr>
      <w:tr>
        <w:tc>
          <w:tcPr>
            <w:tcW w:type="dxa" w:w="2551"/>
            <w:vAlign w:val="center"/>
          </w:tcPr>
          <w:p>
            <w:pPr>
              <w:jc w:val="left"/>
            </w:pPr>
            <w:r/>
            <w:r>
              <w:rPr>
                <w:rFonts w:ascii="Times New Roman" w:hAnsi="Times New Roman"/>
                <w:b w:val="0"/>
                <w:color w:val="000000"/>
                <w:sz w:val="20"/>
              </w:rPr>
              <w:t>Patio/Recreación</w:t>
            </w:r>
          </w:p>
        </w:tc>
        <w:tc>
          <w:tcPr>
            <w:tcW w:type="dxa" w:w="1417"/>
            <w:vAlign w:val="center"/>
          </w:tcPr>
          <w:p>
            <w:pPr>
              <w:jc w:val="right"/>
            </w:pPr>
            <w:r/>
            <w:r>
              <w:rPr>
                <w:rFonts w:ascii="Times New Roman" w:hAnsi="Times New Roman"/>
                <w:b w:val="0"/>
                <w:color w:val="000000"/>
                <w:sz w:val="20"/>
              </w:rPr>
              <w:t>0,20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Esparcimiento — formación de comunidad.</w:t>
            </w:r>
          </w:p>
        </w:tc>
      </w:tr>
      <w:tr>
        <w:tc>
          <w:tcPr>
            <w:tcW w:type="dxa" w:w="2551"/>
            <w:vAlign w:val="center"/>
          </w:tcPr>
          <w:p>
            <w:pPr>
              <w:jc w:val="left"/>
            </w:pPr>
            <w:r/>
            <w:r>
              <w:rPr>
                <w:rFonts w:ascii="Times New Roman" w:hAnsi="Times New Roman"/>
                <w:b w:val="0"/>
                <w:color w:val="000000"/>
                <w:sz w:val="20"/>
              </w:rPr>
              <w:t>Circulaciones</w:t>
            </w:r>
          </w:p>
        </w:tc>
        <w:tc>
          <w:tcPr>
            <w:tcW w:type="dxa" w:w="1417"/>
            <w:vAlign w:val="center"/>
          </w:tcPr>
          <w:p>
            <w:pPr>
              <w:jc w:val="right"/>
            </w:pPr>
            <w:r/>
            <w:r>
              <w:rPr>
                <w:rFonts w:ascii="Times New Roman" w:hAnsi="Times New Roman"/>
                <w:b w:val="0"/>
                <w:color w:val="000000"/>
                <w:sz w:val="20"/>
              </w:rPr>
              <w:t>0,35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Movilidad interna segura.</w:t>
            </w:r>
          </w:p>
        </w:tc>
      </w:tr>
      <w:tr>
        <w:tc>
          <w:tcPr>
            <w:tcW w:type="dxa" w:w="2551"/>
            <w:vAlign w:val="center"/>
          </w:tcPr>
          <w:p>
            <w:pPr>
              <w:jc w:val="left"/>
            </w:pPr>
            <w:r/>
            <w:r>
              <w:rPr>
                <w:rFonts w:ascii="Times New Roman" w:hAnsi="Times New Roman"/>
                <w:b w:val="0"/>
                <w:color w:val="000000"/>
                <w:sz w:val="20"/>
              </w:rPr>
              <w:t>Escaleras</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Conectividad vertical — evacuación.</w:t>
            </w:r>
          </w:p>
        </w:tc>
      </w:tr>
      <w:tr>
        <w:tc>
          <w:tcPr>
            <w:tcW w:type="dxa" w:w="2551"/>
            <w:vAlign w:val="center"/>
          </w:tcPr>
          <w:p>
            <w:pPr>
              <w:jc w:val="left"/>
            </w:pPr>
            <w:r/>
            <w:r>
              <w:rPr>
                <w:rFonts w:ascii="Times New Roman" w:hAnsi="Times New Roman"/>
                <w:b w:val="0"/>
                <w:color w:val="000000"/>
                <w:sz w:val="20"/>
              </w:rPr>
              <w:t>Administración</w:t>
            </w:r>
          </w:p>
        </w:tc>
        <w:tc>
          <w:tcPr>
            <w:tcW w:type="dxa" w:w="1417"/>
            <w:vAlign w:val="center"/>
          </w:tcPr>
          <w:p>
            <w:pPr>
              <w:jc w:val="right"/>
            </w:pPr>
            <w:r/>
            <w:r>
              <w:rPr>
                <w:rFonts w:ascii="Times New Roman" w:hAnsi="Times New Roman"/>
                <w:b w:val="0"/>
                <w:color w:val="000000"/>
                <w:sz w:val="20"/>
              </w:rPr>
              <w:t>0,18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Gestión institucional.</w:t>
            </w:r>
          </w:p>
        </w:tc>
      </w:tr>
      <w:tr>
        <w:tc>
          <w:tcPr>
            <w:tcW w:type="dxa" w:w="2551"/>
            <w:vAlign w:val="center"/>
          </w:tcPr>
          <w:p>
            <w:pPr>
              <w:jc w:val="left"/>
            </w:pPr>
            <w:r/>
            <w:r>
              <w:rPr>
                <w:rFonts w:ascii="Times New Roman" w:hAnsi="Times New Roman"/>
                <w:b w:val="0"/>
                <w:color w:val="000000"/>
                <w:sz w:val="20"/>
              </w:rPr>
              <w:t>Sala Profesores</w:t>
            </w:r>
          </w:p>
        </w:tc>
        <w:tc>
          <w:tcPr>
            <w:tcW w:type="dxa" w:w="1417"/>
            <w:vAlign w:val="center"/>
          </w:tcPr>
          <w:p>
            <w:pPr>
              <w:jc w:val="right"/>
            </w:pPr>
            <w:r/>
            <w:r>
              <w:rPr>
                <w:rFonts w:ascii="Times New Roman" w:hAnsi="Times New Roman"/>
                <w:b w:val="0"/>
                <w:color w:val="000000"/>
                <w:sz w:val="20"/>
              </w:rPr>
              <w:t>0,05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Trabajo docente colaborativo.</w:t>
            </w:r>
          </w:p>
        </w:tc>
      </w:tr>
      <w:tr>
        <w:tc>
          <w:tcPr>
            <w:tcW w:type="dxa" w:w="2551"/>
            <w:vAlign w:val="center"/>
          </w:tcPr>
          <w:p>
            <w:pPr>
              <w:jc w:val="left"/>
            </w:pPr>
            <w:r/>
            <w:r>
              <w:rPr>
                <w:rFonts w:ascii="Times New Roman" w:hAnsi="Times New Roman"/>
                <w:b w:val="0"/>
                <w:color w:val="000000"/>
                <w:sz w:val="20"/>
              </w:rPr>
              <w:t>Portería</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Control de acceso — seguridad.</w:t>
            </w:r>
          </w:p>
        </w:tc>
      </w:tr>
      <w:tr>
        <w:tc>
          <w:tcPr>
            <w:tcW w:type="dxa" w:w="2551"/>
            <w:vAlign w:val="center"/>
          </w:tcPr>
          <w:p>
            <w:pPr>
              <w:jc w:val="left"/>
            </w:pPr>
            <w:r/>
            <w:r>
              <w:rPr>
                <w:rFonts w:ascii="Times New Roman" w:hAnsi="Times New Roman"/>
                <w:b w:val="0"/>
                <w:color w:val="000000"/>
                <w:sz w:val="20"/>
              </w:rPr>
              <w:t>Laboratorio</w:t>
            </w:r>
          </w:p>
        </w:tc>
        <w:tc>
          <w:tcPr>
            <w:tcW w:type="dxa" w:w="1417"/>
            <w:vAlign w:val="center"/>
          </w:tcPr>
          <w:p>
            <w:pPr>
              <w:jc w:val="right"/>
            </w:pPr>
            <w:r/>
            <w:r>
              <w:rPr>
                <w:rFonts w:ascii="Times New Roman" w:hAnsi="Times New Roman"/>
                <w:b w:val="0"/>
                <w:color w:val="000000"/>
                <w:sz w:val="20"/>
              </w:rPr>
              <w:t>0,10</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experimental.</w:t>
            </w:r>
          </w:p>
        </w:tc>
      </w:tr>
      <w:tr>
        <w:tc>
          <w:tcPr>
            <w:tcW w:type="dxa" w:w="2551"/>
            <w:vAlign w:val="center"/>
          </w:tcPr>
          <w:p>
            <w:pPr>
              <w:jc w:val="left"/>
            </w:pPr>
            <w:r/>
            <w:r>
              <w:rPr>
                <w:rFonts w:ascii="Times New Roman" w:hAnsi="Times New Roman"/>
                <w:b w:val="0"/>
                <w:color w:val="000000"/>
                <w:sz w:val="20"/>
              </w:rPr>
              <w:t>Taller</w:t>
            </w:r>
          </w:p>
        </w:tc>
        <w:tc>
          <w:tcPr>
            <w:tcW w:type="dxa" w:w="1417"/>
            <w:vAlign w:val="center"/>
          </w:tcPr>
          <w:p>
            <w:pPr>
              <w:jc w:val="right"/>
            </w:pPr>
            <w:r/>
            <w:r>
              <w:rPr>
                <w:rFonts w:ascii="Times New Roman" w:hAnsi="Times New Roman"/>
                <w:b w:val="0"/>
                <w:color w:val="000000"/>
                <w:sz w:val="20"/>
              </w:rPr>
              <w:t>0,08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técnica/vocacional.</w:t>
            </w:r>
          </w:p>
        </w:tc>
      </w:tr>
      <w:tr>
        <w:tc>
          <w:tcPr>
            <w:tcW w:type="dxa" w:w="2551"/>
            <w:vAlign w:val="center"/>
          </w:tcPr>
          <w:p>
            <w:pPr>
              <w:jc w:val="left"/>
            </w:pPr>
            <w:r/>
            <w:r>
              <w:rPr>
                <w:rFonts w:ascii="Times New Roman" w:hAnsi="Times New Roman"/>
                <w:b w:val="0"/>
                <w:color w:val="000000"/>
                <w:sz w:val="20"/>
              </w:rPr>
              <w:t>UAR (Apoyo Reg.)</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Inclusión — Decreto 1421.</w:t>
            </w:r>
          </w:p>
        </w:tc>
      </w:tr>
      <w:tr>
        <w:tc>
          <w:tcPr>
            <w:tcW w:type="dxa" w:w="2551"/>
            <w:vAlign w:val="center"/>
          </w:tcPr>
          <w:p>
            <w:pPr>
              <w:jc w:val="left"/>
            </w:pPr>
            <w:r/>
            <w:r>
              <w:rPr>
                <w:rFonts w:ascii="Times New Roman" w:hAnsi="Times New Roman"/>
                <w:b w:val="0"/>
                <w:color w:val="000000"/>
                <w:sz w:val="20"/>
              </w:rPr>
              <w:t>Aula Múltiple</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Eventos y reuniones de comunidad.</w:t>
            </w:r>
          </w:p>
        </w:tc>
      </w:tr>
      <w:tr>
        <w:tc>
          <w:tcPr>
            <w:tcW w:type="dxa" w:w="2551"/>
            <w:vAlign w:val="center"/>
          </w:tcPr>
          <w:p>
            <w:pPr>
              <w:jc w:val="left"/>
            </w:pPr>
            <w:r/>
            <w:r>
              <w:rPr>
                <w:rFonts w:ascii="Times New Roman" w:hAnsi="Times New Roman"/>
                <w:b w:val="0"/>
                <w:color w:val="000000"/>
                <w:sz w:val="20"/>
              </w:rPr>
              <w:t>Auditorio</w:t>
            </w:r>
          </w:p>
        </w:tc>
        <w:tc>
          <w:tcPr>
            <w:tcW w:type="dxa" w:w="1417"/>
            <w:vAlign w:val="center"/>
          </w:tcPr>
          <w:p>
            <w:pPr>
              <w:jc w:val="right"/>
            </w:pPr>
            <w:r/>
            <w:r>
              <w:rPr>
                <w:rFonts w:ascii="Times New Roman" w:hAnsi="Times New Roman"/>
                <w:b w:val="0"/>
                <w:color w:val="000000"/>
                <w:sz w:val="20"/>
              </w:rPr>
              <w:t>0,02</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Cultura y actos institucionales.</w:t>
            </w:r>
          </w:p>
        </w:tc>
      </w:tr>
      <w:tr>
        <w:tc>
          <w:tcPr>
            <w:tcW w:type="dxa" w:w="2551"/>
            <w:vAlign w:val="center"/>
          </w:tcPr>
          <w:p>
            <w:pPr>
              <w:jc w:val="left"/>
            </w:pPr>
            <w:r/>
            <w:r>
              <w:rPr>
                <w:rFonts w:ascii="Times New Roman" w:hAnsi="Times New Roman"/>
                <w:b w:val="0"/>
                <w:color w:val="000000"/>
                <w:sz w:val="20"/>
              </w:rPr>
              <w:t>Bodega</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Almacenamiento de insumos.</w:t>
            </w:r>
          </w:p>
        </w:tc>
      </w:tr>
      <w:tr>
        <w:tc>
          <w:tcPr>
            <w:tcW w:type="dxa" w:w="2551"/>
            <w:vAlign w:val="center"/>
          </w:tcPr>
          <w:p>
            <w:pPr>
              <w:jc w:val="left"/>
            </w:pPr>
            <w:r/>
            <w:r>
              <w:rPr>
                <w:rFonts w:ascii="Times New Roman" w:hAnsi="Times New Roman"/>
                <w:b w:val="0"/>
                <w:color w:val="000000"/>
                <w:sz w:val="20"/>
              </w:rPr>
              <w:t>Cuarto Técnico</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Equipos de redes y comunicaciones.</w:t>
            </w:r>
          </w:p>
        </w:tc>
      </w:tr>
      <w:tr>
        <w:tc>
          <w:tcPr>
            <w:tcW w:type="dxa" w:w="2551"/>
            <w:vAlign w:val="center"/>
          </w:tcPr>
          <w:p>
            <w:pPr>
              <w:jc w:val="left"/>
            </w:pPr>
            <w:r/>
            <w:r>
              <w:rPr>
                <w:rFonts w:ascii="Times New Roman" w:hAnsi="Times New Roman"/>
                <w:b w:val="0"/>
                <w:color w:val="000000"/>
                <w:sz w:val="20"/>
              </w:rPr>
              <w:t>Aseo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Servicios de aseo.</w:t>
            </w:r>
          </w:p>
        </w:tc>
      </w:tr>
      <w:tr>
        <w:tc>
          <w:tcPr>
            <w:tcW w:type="dxa" w:w="2551"/>
            <w:vAlign w:val="center"/>
          </w:tcPr>
          <w:p>
            <w:pPr>
              <w:jc w:val="left"/>
            </w:pPr>
            <w:r/>
            <w:r>
              <w:rPr>
                <w:rFonts w:ascii="Times New Roman" w:hAnsi="Times New Roman"/>
                <w:b w:val="0"/>
                <w:color w:val="000000"/>
                <w:sz w:val="20"/>
              </w:rPr>
              <w:t>Parqueadero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1</w:t>
            </w:r>
          </w:p>
        </w:tc>
        <w:tc>
          <w:tcPr>
            <w:tcW w:type="dxa" w:w="4535"/>
            <w:vAlign w:val="center"/>
          </w:tcPr>
          <w:p>
            <w:pPr>
              <w:jc w:val="left"/>
            </w:pPr>
            <w:r/>
            <w:r>
              <w:rPr>
                <w:rFonts w:ascii="Times New Roman" w:hAnsi="Times New Roman"/>
                <w:b w:val="0"/>
                <w:color w:val="000000"/>
                <w:sz w:val="20"/>
              </w:rPr>
              <w:t>Servicios complementarios.</w:t>
            </w:r>
          </w:p>
        </w:tc>
      </w:tr>
      <w:tr>
        <w:tc>
          <w:tcPr>
            <w:tcW w:type="dxa" w:w="2551"/>
            <w:vAlign w:val="center"/>
          </w:tcPr>
          <w:p>
            <w:pPr>
              <w:jc w:val="left"/>
            </w:pPr>
            <w:r/>
            <w:r>
              <w:rPr>
                <w:rFonts w:ascii="Times New Roman" w:hAnsi="Times New Roman"/>
                <w:b w:val="0"/>
                <w:color w:val="000000"/>
                <w:sz w:val="20"/>
              </w:rPr>
              <w:t>TOTAL m²/estudiante</w:t>
            </w:r>
          </w:p>
        </w:tc>
        <w:tc>
          <w:tcPr>
            <w:tcW w:type="dxa" w:w="1417"/>
            <w:vAlign w:val="center"/>
          </w:tcPr>
          <w:p>
            <w:pPr>
              <w:jc w:val="right"/>
            </w:pPr>
            <w:r/>
            <w:r>
              <w:rPr>
                <w:rFonts w:ascii="Times New Roman" w:hAnsi="Times New Roman"/>
                <w:b w:val="0"/>
                <w:color w:val="000000"/>
                <w:sz w:val="20"/>
              </w:rPr>
              <w:t>5,01</w:t>
            </w:r>
          </w:p>
        </w:tc>
        <w:tc>
          <w:tcPr>
            <w:tcW w:type="dxa" w:w="850"/>
            <w:vAlign w:val="center"/>
          </w:tcPr>
          <w:p>
            <w:pPr>
              <w:jc w:val="left"/>
            </w:pPr>
            <w:r/>
            <w:r>
              <w:rPr>
                <w:rFonts w:ascii="Times New Roman" w:hAnsi="Times New Roman"/>
                <w:b w:val="0"/>
                <w:color w:val="000000"/>
                <w:sz w:val="20"/>
              </w:rPr>
              <w:t>—</w:t>
            </w:r>
          </w:p>
        </w:tc>
        <w:tc>
          <w:tcPr>
            <w:tcW w:type="dxa" w:w="4535"/>
            <w:vAlign w:val="center"/>
          </w:tcPr>
          <w:p>
            <w:pPr>
              <w:jc w:val="left"/>
            </w:pPr>
            <w:r/>
            <w:r>
              <w:rPr>
                <w:rFonts w:ascii="Times New Roman" w:hAnsi="Times New Roman"/>
                <w:b w:val="0"/>
                <w:color w:val="000000"/>
                <w:sz w:val="20"/>
              </w:rPr>
              <w:t>Aproximación al estándar NTC 6705:2023 de 5,36.</w:t>
            </w:r>
          </w:p>
        </w:tc>
      </w:tr>
    </w:tbl>
    <w:p>
      <w:pPr>
        <w:jc w:val="both"/>
      </w:pPr>
      <w:r>
        <w:rPr>
          <w:rFonts w:ascii="Times New Roman" w:hAnsi="Times New Roman"/>
          <w:b w:val="0"/>
          <w:i/>
          <w:color w:val="747474"/>
          <w:sz w:val="18"/>
        </w:rPr>
        <w:t>Fuente: TYPOLOGIES_H3 — Herramienta Consolidada PMIE 2026. La diferencia entre la suma de factores (5,01) y el estándar oficial de la NTC 6705:2023 (5,36) se cubre con holguras de circulación y áreas de servicios que la herramienta calcula en función del tamaño de la sede.</w:t>
      </w:r>
    </w:p>
    <w:p>
      <w:pPr>
        <w:jc w:val="both"/>
      </w:pPr>
      <w:r>
        <w:rPr>
          <w:rFonts w:ascii="Times New Roman" w:hAnsi="Times New Roman"/>
          <w:b w:val="0"/>
          <w:i/>
          <w:color w:val="0F4761"/>
          <w:sz w:val="20"/>
        </w:rPr>
        <w:t>Tabla 11. Distribución de las 316 sedes por clasificación NTC 4595.</w:t>
      </w:r>
    </w:p>
    <w:p>
      <w:pPr>
        <w:jc w:val="center"/>
      </w:pPr>
      <w:r>
        <w:rPr>
          <w:rFonts w:ascii="Times New Roman" w:hAnsi="Times New Roman"/>
          <w:b/>
          <w:color w:val="0F4761"/>
          <w:sz w:val="20"/>
        </w:rPr>
        <w:t>Figura 3. Clasificación de sedes según Índice NTC 4595.</w:t>
      </w:r>
    </w:p>
    <w:p>
      <w:pPr>
        <w:jc w:val="center"/>
      </w:pPr>
      <w:r>
        <w:drawing>
          <wp:inline xmlns:a="http://schemas.openxmlformats.org/drawingml/2006/main" xmlns:pic="http://schemas.openxmlformats.org/drawingml/2006/picture">
            <wp:extent cx="5400000" cy="2976630"/>
            <wp:docPr id="2" name="Picture 2"/>
            <wp:cNvGraphicFramePr>
              <a:graphicFrameLocks noChangeAspect="1"/>
            </wp:cNvGraphicFramePr>
            <a:graphic>
              <a:graphicData uri="http://schemas.openxmlformats.org/drawingml/2006/picture">
                <pic:pic>
                  <pic:nvPicPr>
                    <pic:cNvPr id="0" name="G2_ntc4595.png"/>
                    <pic:cNvPicPr/>
                  </pic:nvPicPr>
                  <pic:blipFill>
                    <a:blip r:embed="rId10"/>
                    <a:stretch>
                      <a:fillRect/>
                    </a:stretch>
                  </pic:blipFill>
                  <pic:spPr>
                    <a:xfrm>
                      <a:off x="0" y="0"/>
                      <a:ext cx="5400000" cy="2976630"/>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Índice NTC 4595 sintetiza el grado de cumplimiento del programa arquitectónico escolar. Se calcula como la suma ponderada de las calificaciones de calidad (1–4) por cada tipología, sobre el área de referencia normativa. Un valor de 1,00 indica cumplimiento pleno; valores inferiores a 0,66 identifican sedes de intervención prioritaria. El 50,3% del parque (159 sedes) requiere intervención funcional (categorías Medio Requerida + Bajo Prioritario), lo que justifica la magnitud del Programa P3 (Adecuación). El 40,2% del parque opera en condición aceptable (índice ≥ 0,73), aunque ello no lo exime de intervenciones de mantenimiento preventivo o de las requeridas por ampliación de capacidad (P4).</w:t>
      </w:r>
    </w:p>
    <w:p>
      <w:r>
        <w:rPr>
          <w:rFonts w:ascii="Times New Roman" w:hAnsi="Times New Roman"/>
          <w:b/>
          <w:color w:val="0F4761"/>
          <w:sz w:val="20"/>
        </w:rPr>
        <w:t>Indicadores clave:</w:t>
      </w:r>
    </w:p>
    <w:p>
      <w:pPr>
        <w:pStyle w:val="ListBullet"/>
      </w:pPr>
      <w:r>
        <w:rPr>
          <w:rFonts w:ascii="Times New Roman" w:hAnsi="Times New Roman"/>
          <w:sz w:val="20"/>
        </w:rPr>
        <w:t>Índice NTC 4595 promedio del Distrito: 0,707 (escala 0–1)</w:t>
      </w:r>
    </w:p>
    <w:p>
      <w:pPr>
        <w:pStyle w:val="ListBullet"/>
      </w:pPr>
      <w:r>
        <w:rPr>
          <w:rFonts w:ascii="Times New Roman" w:hAnsi="Times New Roman"/>
          <w:sz w:val="20"/>
        </w:rPr>
        <w:t>159 sedes (50,3%) con índice &lt; 0,70 → Programa P3 prioritario</w:t>
      </w:r>
    </w:p>
    <w:p>
      <w:pPr>
        <w:pStyle w:val="ListBullet"/>
      </w:pPr>
      <w:r>
        <w:rPr>
          <w:rFonts w:ascii="Times New Roman" w:hAnsi="Times New Roman"/>
          <w:sz w:val="20"/>
        </w:rPr>
        <w:t>86 sedes (27,2%) en condición Bajo Prioritario (&lt; 0,66)</w:t>
      </w:r>
    </w:p>
    <w:p>
      <w:pPr>
        <w:jc w:val="center"/>
      </w:pPr>
      <w:r>
        <w:rPr>
          <w:rFonts w:ascii="Times New Roman" w:hAnsi="Times New Roman"/>
          <w:b/>
          <w:color w:val="0F4761"/>
          <w:sz w:val="20"/>
        </w:rPr>
        <w:t>Figura 4. Calificación promedio NTC 4595 por tipología de espacio (escala 1–4).</w:t>
      </w:r>
    </w:p>
    <w:p>
      <w:pPr>
        <w:jc w:val="center"/>
      </w:pPr>
      <w:r>
        <w:drawing>
          <wp:inline xmlns:a="http://schemas.openxmlformats.org/drawingml/2006/main" xmlns:pic="http://schemas.openxmlformats.org/drawingml/2006/picture">
            <wp:extent cx="5400000" cy="3264361"/>
            <wp:docPr id="3" name="Picture 3"/>
            <wp:cNvGraphicFramePr>
              <a:graphicFrameLocks noChangeAspect="1"/>
            </wp:cNvGraphicFramePr>
            <a:graphic>
              <a:graphicData uri="http://schemas.openxmlformats.org/drawingml/2006/picture">
                <pic:pic>
                  <pic:nvPicPr>
                    <pic:cNvPr id="0" name="G6_calificaciones.png"/>
                    <pic:cNvPicPr/>
                  </pic:nvPicPr>
                  <pic:blipFill>
                    <a:blip r:embed="rId11"/>
                    <a:stretch>
                      <a:fillRect/>
                    </a:stretch>
                  </pic:blipFill>
                  <pic:spPr>
                    <a:xfrm>
                      <a:off x="0" y="0"/>
                      <a:ext cx="5400000" cy="326436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calificación por tipología (escala 1=muy malo, 2=malo, 3=regular, 4=excelente) se obtiene del levantamiento de campo de los 11 componentes del programa arquitectónico y se promedia ponderadamente entre todos los bloques de cada sede. El gráfico muestra que tipologías esenciales como Aulas (2,65) y Baños (2,59) operan en condición REGULAR-MALA, lo que se traduce en un factor de intervención del 59–63% del costo unitario por m². La tipología más crítica son los Baños PMR (1,20) — relacionados con accesibilidad universal según Decreto 1421 de 2017 — que requieren intervención casi total (factor cercano al 95%). Las calificaciones decimales se procesan en la Herramienta Consolidada mediante interpolación lineal del factor de costo.</w:t>
      </w:r>
    </w:p>
    <w:p>
      <w:r>
        <w:rPr>
          <w:rFonts w:ascii="Times New Roman" w:hAnsi="Times New Roman"/>
          <w:b/>
          <w:color w:val="0F4761"/>
          <w:sz w:val="20"/>
        </w:rPr>
        <w:t>Indicadores clave:</w:t>
      </w:r>
    </w:p>
    <w:p>
      <w:pPr>
        <w:pStyle w:val="ListBullet"/>
      </w:pPr>
      <w:r>
        <w:rPr>
          <w:rFonts w:ascii="Times New Roman" w:hAnsi="Times New Roman"/>
          <w:sz w:val="20"/>
        </w:rPr>
        <w:t>Calificación promedio del sistema (todas las tipologías): 2,55</w:t>
      </w:r>
    </w:p>
    <w:p>
      <w:pPr>
        <w:pStyle w:val="ListBullet"/>
      </w:pPr>
      <w:r>
        <w:rPr>
          <w:rFonts w:ascii="Times New Roman" w:hAnsi="Times New Roman"/>
          <w:sz w:val="20"/>
        </w:rPr>
        <w:t>Tipologías críticas (cal &lt; 2,0): Baños PMR, Laboratorios</w:t>
      </w:r>
    </w:p>
    <w:p>
      <w:pPr>
        <w:pStyle w:val="ListBullet"/>
      </w:pPr>
      <w:r>
        <w:rPr>
          <w:rFonts w:ascii="Times New Roman" w:hAnsi="Times New Roman"/>
          <w:sz w:val="20"/>
        </w:rPr>
        <w:t>Tipologías mejor calificadas: Administración (2,88), Salas Profesores (2,95)</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Clasificación</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417"/>
            <w:shd w:val="clear" w:color="auto" w:fill="0F4761"/>
            <w:vAlign w:val="center"/>
          </w:tcPr>
          <w:p>
            <w:pPr>
              <w:jc w:val="center"/>
            </w:pPr>
            <w:r/>
            <w:r>
              <w:rPr>
                <w:rFonts w:ascii="Times New Roman" w:hAnsi="Times New Roman"/>
                <w:b/>
                <w:color w:val="FFFFFF"/>
                <w:sz w:val="20"/>
              </w:rPr>
              <w:t>Rango Índice</w:t>
            </w:r>
          </w:p>
        </w:tc>
        <w:tc>
          <w:tcPr>
            <w:tcW w:type="dxa" w:w="3231"/>
            <w:shd w:val="clear" w:color="auto" w:fill="0F4761"/>
            <w:vAlign w:val="center"/>
          </w:tcPr>
          <w:p>
            <w:pPr>
              <w:jc w:val="center"/>
            </w:pPr>
            <w:r/>
            <w:r>
              <w:rPr>
                <w:rFonts w:ascii="Times New Roman" w:hAnsi="Times New Roman"/>
                <w:b/>
                <w:color w:val="FFFFFF"/>
                <w:sz w:val="20"/>
              </w:rPr>
              <w:t>Tipo de intervención asociada</w:t>
            </w:r>
          </w:p>
        </w:tc>
      </w:tr>
      <w:tr>
        <w:tc>
          <w:tcPr>
            <w:tcW w:type="dxa" w:w="2551"/>
            <w:vAlign w:val="center"/>
          </w:tcPr>
          <w:p>
            <w:pPr>
              <w:jc w:val="left"/>
            </w:pPr>
            <w:r/>
            <w:r>
              <w:rPr>
                <w:rFonts w:ascii="Times New Roman" w:hAnsi="Times New Roman"/>
                <w:b w:val="0"/>
                <w:color w:val="000000"/>
                <w:sz w:val="20"/>
              </w:rPr>
              <w:t>Alto — Condición aceptable</w:t>
            </w:r>
          </w:p>
        </w:tc>
        <w:tc>
          <w:tcPr>
            <w:tcW w:type="dxa" w:w="1020"/>
            <w:vAlign w:val="center"/>
          </w:tcPr>
          <w:p>
            <w:pPr>
              <w:jc w:val="right"/>
            </w:pPr>
            <w:r/>
            <w:r>
              <w:rPr>
                <w:rFonts w:ascii="Times New Roman" w:hAnsi="Times New Roman"/>
                <w:b w:val="0"/>
                <w:color w:val="000000"/>
                <w:sz w:val="20"/>
              </w:rPr>
              <w:t>127</w:t>
            </w:r>
          </w:p>
        </w:tc>
        <w:tc>
          <w:tcPr>
            <w:tcW w:type="dxa" w:w="850"/>
            <w:vAlign w:val="center"/>
          </w:tcPr>
          <w:p>
            <w:pPr>
              <w:jc w:val="right"/>
            </w:pPr>
            <w:r/>
            <w:r>
              <w:rPr>
                <w:rFonts w:ascii="Times New Roman" w:hAnsi="Times New Roman"/>
                <w:b w:val="0"/>
                <w:color w:val="000000"/>
                <w:sz w:val="20"/>
              </w:rPr>
              <w:t>40,2%</w:t>
            </w:r>
          </w:p>
        </w:tc>
        <w:tc>
          <w:tcPr>
            <w:tcW w:type="dxa" w:w="1417"/>
            <w:vAlign w:val="center"/>
          </w:tcPr>
          <w:p>
            <w:pPr>
              <w:jc w:val="left"/>
            </w:pPr>
            <w:r/>
            <w:r>
              <w:rPr>
                <w:rFonts w:ascii="Times New Roman" w:hAnsi="Times New Roman"/>
                <w:b w:val="0"/>
                <w:color w:val="000000"/>
                <w:sz w:val="20"/>
              </w:rPr>
              <w:t>≥ 0,73</w:t>
            </w:r>
          </w:p>
        </w:tc>
        <w:tc>
          <w:tcPr>
            <w:tcW w:type="dxa" w:w="3231"/>
            <w:vAlign w:val="center"/>
          </w:tcPr>
          <w:p>
            <w:pPr>
              <w:jc w:val="left"/>
            </w:pPr>
            <w:r/>
            <w:r>
              <w:rPr>
                <w:rFonts w:ascii="Times New Roman" w:hAnsi="Times New Roman"/>
                <w:b w:val="0"/>
                <w:color w:val="000000"/>
                <w:sz w:val="20"/>
              </w:rPr>
              <w:t>Mantenimiento o mejoramiento puntual.</w:t>
            </w:r>
          </w:p>
        </w:tc>
      </w:tr>
      <w:tr>
        <w:tc>
          <w:tcPr>
            <w:tcW w:type="dxa" w:w="2551"/>
            <w:vAlign w:val="center"/>
          </w:tcPr>
          <w:p>
            <w:pPr>
              <w:jc w:val="left"/>
            </w:pPr>
            <w:r/>
            <w:r>
              <w:rPr>
                <w:rFonts w:ascii="Times New Roman" w:hAnsi="Times New Roman"/>
                <w:b w:val="0"/>
                <w:color w:val="000000"/>
                <w:sz w:val="20"/>
              </w:rPr>
              <w:t>Medio — Intervención puntual</w:t>
            </w:r>
          </w:p>
        </w:tc>
        <w:tc>
          <w:tcPr>
            <w:tcW w:type="dxa" w:w="1020"/>
            <w:vAlign w:val="center"/>
          </w:tcPr>
          <w:p>
            <w:pPr>
              <w:jc w:val="right"/>
            </w:pPr>
            <w:r/>
            <w:r>
              <w:rPr>
                <w:rFonts w:ascii="Times New Roman" w:hAnsi="Times New Roman"/>
                <w:b w:val="0"/>
                <w:color w:val="000000"/>
                <w:sz w:val="20"/>
              </w:rPr>
              <w:t>30</w:t>
            </w:r>
          </w:p>
        </w:tc>
        <w:tc>
          <w:tcPr>
            <w:tcW w:type="dxa" w:w="850"/>
            <w:vAlign w:val="center"/>
          </w:tcPr>
          <w:p>
            <w:pPr>
              <w:jc w:val="right"/>
            </w:pPr>
            <w:r/>
            <w:r>
              <w:rPr>
                <w:rFonts w:ascii="Times New Roman" w:hAnsi="Times New Roman"/>
                <w:b w:val="0"/>
                <w:color w:val="000000"/>
                <w:sz w:val="20"/>
              </w:rPr>
              <w:t>9,5%</w:t>
            </w:r>
          </w:p>
        </w:tc>
        <w:tc>
          <w:tcPr>
            <w:tcW w:type="dxa" w:w="1417"/>
            <w:vAlign w:val="center"/>
          </w:tcPr>
          <w:p>
            <w:pPr>
              <w:jc w:val="left"/>
            </w:pPr>
            <w:r/>
            <w:r>
              <w:rPr>
                <w:rFonts w:ascii="Times New Roman" w:hAnsi="Times New Roman"/>
                <w:b w:val="0"/>
                <w:color w:val="000000"/>
                <w:sz w:val="20"/>
              </w:rPr>
              <w:t>0,70–0,72</w:t>
            </w:r>
          </w:p>
        </w:tc>
        <w:tc>
          <w:tcPr>
            <w:tcW w:type="dxa" w:w="3231"/>
            <w:vAlign w:val="center"/>
          </w:tcPr>
          <w:p>
            <w:pPr>
              <w:jc w:val="left"/>
            </w:pPr>
            <w:r/>
            <w:r>
              <w:rPr>
                <w:rFonts w:ascii="Times New Roman" w:hAnsi="Times New Roman"/>
                <w:b w:val="0"/>
                <w:color w:val="000000"/>
                <w:sz w:val="20"/>
              </w:rPr>
              <w:t>Intervención específica por componente.</w:t>
            </w:r>
          </w:p>
        </w:tc>
      </w:tr>
      <w:tr>
        <w:tc>
          <w:tcPr>
            <w:tcW w:type="dxa" w:w="2551"/>
            <w:vAlign w:val="center"/>
          </w:tcPr>
          <w:p>
            <w:pPr>
              <w:jc w:val="left"/>
            </w:pPr>
            <w:r/>
            <w:r>
              <w:rPr>
                <w:rFonts w:ascii="Times New Roman" w:hAnsi="Times New Roman"/>
                <w:b w:val="0"/>
                <w:color w:val="000000"/>
                <w:sz w:val="20"/>
              </w:rPr>
              <w:t>Medio — Intervención requerida</w:t>
            </w:r>
          </w:p>
        </w:tc>
        <w:tc>
          <w:tcPr>
            <w:tcW w:type="dxa" w:w="1020"/>
            <w:vAlign w:val="center"/>
          </w:tcPr>
          <w:p>
            <w:pPr>
              <w:jc w:val="right"/>
            </w:pPr>
            <w:r/>
            <w:r>
              <w:rPr>
                <w:rFonts w:ascii="Times New Roman" w:hAnsi="Times New Roman"/>
                <w:b w:val="0"/>
                <w:color w:val="000000"/>
                <w:sz w:val="20"/>
              </w:rPr>
              <w:t>73</w:t>
            </w:r>
          </w:p>
        </w:tc>
        <w:tc>
          <w:tcPr>
            <w:tcW w:type="dxa" w:w="850"/>
            <w:vAlign w:val="center"/>
          </w:tcPr>
          <w:p>
            <w:pPr>
              <w:jc w:val="right"/>
            </w:pPr>
            <w:r/>
            <w:r>
              <w:rPr>
                <w:rFonts w:ascii="Times New Roman" w:hAnsi="Times New Roman"/>
                <w:b w:val="0"/>
                <w:color w:val="000000"/>
                <w:sz w:val="20"/>
              </w:rPr>
              <w:t>23,1%</w:t>
            </w:r>
          </w:p>
        </w:tc>
        <w:tc>
          <w:tcPr>
            <w:tcW w:type="dxa" w:w="1417"/>
            <w:vAlign w:val="center"/>
          </w:tcPr>
          <w:p>
            <w:pPr>
              <w:jc w:val="left"/>
            </w:pPr>
            <w:r/>
            <w:r>
              <w:rPr>
                <w:rFonts w:ascii="Times New Roman" w:hAnsi="Times New Roman"/>
                <w:b w:val="0"/>
                <w:color w:val="000000"/>
                <w:sz w:val="20"/>
              </w:rPr>
              <w:t>0,66–0,69</w:t>
            </w:r>
          </w:p>
        </w:tc>
        <w:tc>
          <w:tcPr>
            <w:tcW w:type="dxa" w:w="3231"/>
            <w:vAlign w:val="center"/>
          </w:tcPr>
          <w:p>
            <w:pPr>
              <w:jc w:val="left"/>
            </w:pPr>
            <w:r/>
            <w:r>
              <w:rPr>
                <w:rFonts w:ascii="Times New Roman" w:hAnsi="Times New Roman"/>
                <w:b w:val="0"/>
                <w:color w:val="000000"/>
                <w:sz w:val="20"/>
              </w:rPr>
              <w:t>Intervención integral de componentes.</w:t>
            </w:r>
          </w:p>
        </w:tc>
      </w:tr>
      <w:tr>
        <w:tc>
          <w:tcPr>
            <w:tcW w:type="dxa" w:w="2551"/>
            <w:vAlign w:val="center"/>
          </w:tcPr>
          <w:p>
            <w:pPr>
              <w:jc w:val="left"/>
            </w:pPr>
            <w:r/>
            <w:r>
              <w:rPr>
                <w:rFonts w:ascii="Times New Roman" w:hAnsi="Times New Roman"/>
                <w:b w:val="0"/>
                <w:color w:val="000000"/>
                <w:sz w:val="20"/>
              </w:rPr>
              <w:t>Bajo — Intervención prioritaria</w:t>
            </w:r>
          </w:p>
        </w:tc>
        <w:tc>
          <w:tcPr>
            <w:tcW w:type="dxa" w:w="1020"/>
            <w:vAlign w:val="center"/>
          </w:tcPr>
          <w:p>
            <w:pPr>
              <w:jc w:val="right"/>
            </w:pPr>
            <w:r/>
            <w:r>
              <w:rPr>
                <w:rFonts w:ascii="Times New Roman" w:hAnsi="Times New Roman"/>
                <w:b w:val="0"/>
                <w:color w:val="000000"/>
                <w:sz w:val="20"/>
              </w:rPr>
              <w:t>86</w:t>
            </w:r>
          </w:p>
        </w:tc>
        <w:tc>
          <w:tcPr>
            <w:tcW w:type="dxa" w:w="850"/>
            <w:vAlign w:val="center"/>
          </w:tcPr>
          <w:p>
            <w:pPr>
              <w:jc w:val="right"/>
            </w:pPr>
            <w:r/>
            <w:r>
              <w:rPr>
                <w:rFonts w:ascii="Times New Roman" w:hAnsi="Times New Roman"/>
                <w:b w:val="0"/>
                <w:color w:val="000000"/>
                <w:sz w:val="20"/>
              </w:rPr>
              <w:t>27,2%</w:t>
            </w:r>
          </w:p>
        </w:tc>
        <w:tc>
          <w:tcPr>
            <w:tcW w:type="dxa" w:w="1417"/>
            <w:vAlign w:val="center"/>
          </w:tcPr>
          <w:p>
            <w:pPr>
              <w:jc w:val="left"/>
            </w:pPr>
            <w:r/>
            <w:r>
              <w:rPr>
                <w:rFonts w:ascii="Times New Roman" w:hAnsi="Times New Roman"/>
                <w:b w:val="0"/>
                <w:color w:val="000000"/>
                <w:sz w:val="20"/>
              </w:rPr>
              <w:t>&lt; 0,66</w:t>
            </w:r>
          </w:p>
        </w:tc>
        <w:tc>
          <w:tcPr>
            <w:tcW w:type="dxa" w:w="3231"/>
            <w:vAlign w:val="center"/>
          </w:tcPr>
          <w:p>
            <w:pPr>
              <w:jc w:val="left"/>
            </w:pPr>
            <w:r/>
            <w:r>
              <w:rPr>
                <w:rFonts w:ascii="Times New Roman" w:hAnsi="Times New Roman"/>
                <w:b w:val="0"/>
                <w:color w:val="000000"/>
                <w:sz w:val="20"/>
              </w:rPr>
              <w:t>Intervención estructurante.</w:t>
            </w:r>
          </w:p>
        </w:tc>
      </w:tr>
      <w:tr>
        <w:tc>
          <w:tcPr>
            <w:tcW w:type="dxa" w:w="2551"/>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417"/>
            <w:vAlign w:val="center"/>
          </w:tcPr>
          <w:p>
            <w:pPr>
              <w:jc w:val="left"/>
            </w:pPr>
            <w:r/>
            <w:r>
              <w:rPr>
                <w:rFonts w:ascii="Times New Roman" w:hAnsi="Times New Roman"/>
                <w:b w:val="0"/>
                <w:color w:val="000000"/>
                <w:sz w:val="20"/>
              </w:rPr>
              <w:t>—</w:t>
            </w:r>
          </w:p>
        </w:tc>
        <w:tc>
          <w:tcPr>
            <w:tcW w:type="dxa" w:w="3231"/>
            <w:vAlign w:val="center"/>
          </w:tcPr>
          <w:p>
            <w:pPr>
              <w:jc w:val="left"/>
            </w:pPr>
            <w:r/>
            <w:r>
              <w:rPr>
                <w:rFonts w:ascii="Times New Roman" w:hAnsi="Times New Roman"/>
                <w:b w:val="0"/>
                <w:color w:val="000000"/>
                <w:sz w:val="20"/>
              </w:rPr>
              <w:t>—</w:t>
            </w:r>
          </w:p>
        </w:tc>
      </w:tr>
    </w:tbl>
    <w:p>
      <w:pPr>
        <w:pStyle w:val="Heading2"/>
      </w:pPr>
      <w:r>
        <w:t>5.3 Análisis de capacidad</w:t>
      </w:r>
    </w:p>
    <w:p>
      <w:pPr>
        <w:jc w:val="both"/>
      </w:pPr>
      <w:r>
        <w:rPr>
          <w:rFonts w:ascii="Times New Roman" w:hAnsi="Times New Roman"/>
          <w:b w:val="0"/>
          <w:i w:val="0"/>
          <w:color w:val="000000"/>
          <w:sz w:val="22"/>
        </w:rPr>
        <w:t>La aplicación del estándar NTC 6705:2023 (5,36 m² por estudiante) al inventario del parque escolar revela un déficit acumulado de 500.401 m² construidos —equivalente a aproximadamente 93 sedes educativas nuevas del tamaño promedio del Distrito. La relación m²/estudiante promedio del sistema es de 2,8 m², es decir, el sistema opera al 52% del estándar mínimo normativo. El 30% de las sedes (95) presentan déficit de área (ISPF &lt; 1,0); el 18% (57) cuentan con lote disponible para ampliación; y el 27% (85) operan con sobreocupación superior al 20%.</w:t>
      </w:r>
    </w:p>
    <w:p>
      <w:pPr>
        <w:jc w:val="center"/>
      </w:pPr>
      <w:r>
        <w:rPr>
          <w:rFonts w:ascii="Times New Roman" w:hAnsi="Times New Roman"/>
          <w:b/>
          <w:color w:val="0F4761"/>
          <w:sz w:val="20"/>
        </w:rPr>
        <w:t>Figura 5. Relación m²/estudiante: parque escolar actual vs. estándar normativo.</w:t>
      </w:r>
    </w:p>
    <w:p>
      <w:pPr>
        <w:jc w:val="center"/>
      </w:pPr>
      <w:r>
        <w:drawing>
          <wp:inline xmlns:a="http://schemas.openxmlformats.org/drawingml/2006/main" xmlns:pic="http://schemas.openxmlformats.org/drawingml/2006/picture">
            <wp:extent cx="5400000" cy="2985775"/>
            <wp:docPr id="4" name="Picture 4"/>
            <wp:cNvGraphicFramePr>
              <a:graphicFrameLocks noChangeAspect="1"/>
            </wp:cNvGraphicFramePr>
            <a:graphic>
              <a:graphicData uri="http://schemas.openxmlformats.org/drawingml/2006/picture">
                <pic:pic>
                  <pic:nvPicPr>
                    <pic:cNvPr id="0" name="G4_m2_estudiante.png"/>
                    <pic:cNvPicPr/>
                  </pic:nvPicPr>
                  <pic:blipFill>
                    <a:blip r:embed="rId12"/>
                    <a:stretch>
                      <a:fillRect/>
                    </a:stretch>
                  </pic:blipFill>
                  <pic:spPr>
                    <a:xfrm>
                      <a:off x="0" y="0"/>
                      <a:ext cx="5400000" cy="2985775"/>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NTC 6705:2023 establece como referencia mínima 5,36 m² de área construida por estudiante para sedes nuevas. El parque escolar oficial de Cali opera con 2,8 m²/estudiante en promedio, lo que representa el 52% del estándar normativo y equivale a un déficit acumulado de 500.401 m² construidos —equivalente a aproximadamente 93 sedes nuevas del tamaño promedio del Distrito. Este déficit justifica la magnitud de los Programas P4 (Ampliación Sitio Propio) y P1 (Construcción Nueva). El cierre de la brecha de capacidad es la mayor presión inversionista del Plan: representa el 79,1% del valor de la Brecha Funcional.</w:t>
      </w:r>
    </w:p>
    <w:p>
      <w:r>
        <w:rPr>
          <w:rFonts w:ascii="Times New Roman" w:hAnsi="Times New Roman"/>
          <w:b/>
          <w:color w:val="0F4761"/>
          <w:sz w:val="20"/>
        </w:rPr>
        <w:t>Indicadores clave:</w:t>
      </w:r>
    </w:p>
    <w:p>
      <w:pPr>
        <w:pStyle w:val="ListBullet"/>
      </w:pPr>
      <w:r>
        <w:rPr>
          <w:rFonts w:ascii="Times New Roman" w:hAnsi="Times New Roman"/>
          <w:sz w:val="20"/>
        </w:rPr>
        <w:t>Sistema actual: 2,8 m²/estudiante · Estándar: 5,36 m²/estudiante</w:t>
      </w:r>
    </w:p>
    <w:p>
      <w:pPr>
        <w:pStyle w:val="ListBullet"/>
      </w:pPr>
      <w:r>
        <w:rPr>
          <w:rFonts w:ascii="Times New Roman" w:hAnsi="Times New Roman"/>
          <w:sz w:val="20"/>
        </w:rPr>
        <w:t>Déficit acumulado: 500.401 m² construidos (52% bajo el estándar)</w:t>
      </w:r>
    </w:p>
    <w:p>
      <w:pPr>
        <w:pStyle w:val="ListBullet"/>
      </w:pPr>
      <w:r>
        <w:rPr>
          <w:rFonts w:ascii="Times New Roman" w:hAnsi="Times New Roman"/>
          <w:sz w:val="20"/>
        </w:rPr>
        <w:t>Equivalencia: ~93 sedes nuevas del tamaño promedio del Distrito</w:t>
      </w:r>
    </w:p>
    <w:p>
      <w:pPr>
        <w:jc w:val="center"/>
      </w:pPr>
      <w:r>
        <w:rPr>
          <w:rFonts w:ascii="Times New Roman" w:hAnsi="Times New Roman"/>
          <w:b/>
          <w:color w:val="0F4761"/>
          <w:sz w:val="20"/>
        </w:rPr>
        <w:t>Figura 6. Viabilidad predial POT — distribución de sedes.</w:t>
      </w:r>
    </w:p>
    <w:p>
      <w:pPr>
        <w:jc w:val="center"/>
      </w:pPr>
      <w:r>
        <w:drawing>
          <wp:inline xmlns:a="http://schemas.openxmlformats.org/drawingml/2006/main" xmlns:pic="http://schemas.openxmlformats.org/drawingml/2006/picture">
            <wp:extent cx="5400000" cy="4637647"/>
            <wp:docPr id="5" name="Picture 5"/>
            <wp:cNvGraphicFramePr>
              <a:graphicFrameLocks noChangeAspect="1"/>
            </wp:cNvGraphicFramePr>
            <a:graphic>
              <a:graphicData uri="http://schemas.openxmlformats.org/drawingml/2006/picture">
                <pic:pic>
                  <pic:nvPicPr>
                    <pic:cNvPr id="0" name="G5_POT.png"/>
                    <pic:cNvPicPr/>
                  </pic:nvPicPr>
                  <pic:blipFill>
                    <a:blip r:embed="rId13"/>
                    <a:stretch>
                      <a:fillRect/>
                    </a:stretch>
                  </pic:blipFill>
                  <pic:spPr>
                    <a:xfrm>
                      <a:off x="0" y="0"/>
                      <a:ext cx="5400000" cy="4637647"/>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clasificación POT determina la ruta del árbol de decisión: sedes con POT Posible (171, 54,1%) son candidatas a Programa P4 (Ampliación en Sitio Propio); sedes con POT Parcial (62, 19,6%) pueden combinar P4 con gestión predial; sedes Sin Posibilidad POT (60, 19,0%) requieren Programa P1 (Construcción en otro predio). Esta clasificación es determinante en el costo total porque la compra de predio en P1 incrementa significativamente la inversión por estudiante respecto a la ampliación en sitio existente. El factor de ocupación máxima del lote (POT=0,60) se aplica en los cálculos de área de predio necesaria.</w:t>
      </w:r>
    </w:p>
    <w:p>
      <w:r>
        <w:rPr>
          <w:rFonts w:ascii="Times New Roman" w:hAnsi="Times New Roman"/>
          <w:b/>
          <w:color w:val="0F4761"/>
          <w:sz w:val="20"/>
        </w:rPr>
        <w:t>Indicadores clave:</w:t>
      </w:r>
    </w:p>
    <w:p>
      <w:pPr>
        <w:pStyle w:val="ListBullet"/>
      </w:pPr>
      <w:r>
        <w:rPr>
          <w:rFonts w:ascii="Times New Roman" w:hAnsi="Times New Roman"/>
          <w:sz w:val="20"/>
        </w:rPr>
        <w:t>54,1% de sedes con POT Posible → Programa P4 prioritario</w:t>
      </w:r>
    </w:p>
    <w:p>
      <w:pPr>
        <w:pStyle w:val="ListBullet"/>
      </w:pPr>
      <w:r>
        <w:rPr>
          <w:rFonts w:ascii="Times New Roman" w:hAnsi="Times New Roman"/>
          <w:sz w:val="20"/>
        </w:rPr>
        <w:t>19,0% Sin Posibilidad POT → requieren Programa P1 con adquisición predial</w:t>
      </w:r>
    </w:p>
    <w:p>
      <w:pPr>
        <w:pStyle w:val="ListBullet"/>
      </w:pPr>
      <w:r>
        <w:rPr>
          <w:rFonts w:ascii="Times New Roman" w:hAnsi="Times New Roman"/>
          <w:sz w:val="20"/>
        </w:rPr>
        <w:t>Factor de ocupación POT aplicado: 0,60 (área lote = área construcción / 0,60)</w:t>
      </w:r>
    </w:p>
    <w:p>
      <w:pPr>
        <w:pStyle w:val="Heading2"/>
      </w:pPr>
      <w:r>
        <w:t>5.4 Brecha funcional desagregada</w:t>
      </w:r>
    </w:p>
    <w:p>
      <w:pPr>
        <w:jc w:val="both"/>
      </w:pPr>
      <w:r>
        <w:rPr>
          <w:rFonts w:ascii="Times New Roman" w:hAnsi="Times New Roman"/>
          <w:b w:val="0"/>
          <w:i/>
          <w:color w:val="0F4761"/>
          <w:sz w:val="20"/>
        </w:rPr>
        <w:t>Tabla 12. Brecha funcional desagregada por componente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Componente BF</w:t>
            </w:r>
          </w:p>
        </w:tc>
        <w:tc>
          <w:tcPr>
            <w:tcW w:type="dxa" w:w="3685"/>
            <w:shd w:val="clear" w:color="auto" w:fill="0F4761"/>
            <w:vAlign w:val="center"/>
          </w:tcPr>
          <w:p>
            <w:pPr>
              <w:jc w:val="center"/>
            </w:pPr>
            <w:r/>
            <w:r>
              <w:rPr>
                <w:rFonts w:ascii="Times New Roman" w:hAnsi="Times New Roman"/>
                <w:b/>
                <w:color w:val="FFFFFF"/>
                <w:sz w:val="20"/>
              </w:rPr>
              <w:t>Criterio de cálculo</w:t>
            </w:r>
          </w:p>
        </w:tc>
        <w:tc>
          <w:tcPr>
            <w:tcW w:type="dxa" w:w="1701"/>
            <w:shd w:val="clear" w:color="auto" w:fill="0F4761"/>
            <w:vAlign w:val="center"/>
          </w:tcPr>
          <w:p>
            <w:pPr>
              <w:jc w:val="center"/>
            </w:pPr>
            <w:r/>
            <w:r>
              <w:rPr>
                <w:rFonts w:ascii="Times New Roman" w:hAnsi="Times New Roman"/>
                <w:b/>
                <w:color w:val="FFFFFF"/>
                <w:sz w:val="20"/>
              </w:rPr>
              <w:t>Valor (MM COP)</w:t>
            </w:r>
          </w:p>
        </w:tc>
        <w:tc>
          <w:tcPr>
            <w:tcW w:type="dxa" w:w="850"/>
            <w:shd w:val="clear" w:color="auto" w:fill="0F4761"/>
            <w:vAlign w:val="center"/>
          </w:tcPr>
          <w:p>
            <w:pPr>
              <w:jc w:val="center"/>
            </w:pPr>
            <w:r/>
            <w:r>
              <w:rPr>
                <w:rFonts w:ascii="Times New Roman" w:hAnsi="Times New Roman"/>
                <w:b/>
                <w:color w:val="FFFFFF"/>
                <w:sz w:val="20"/>
              </w:rPr>
              <w:t>% BF</w:t>
            </w:r>
          </w:p>
        </w:tc>
      </w:tr>
      <w:tr>
        <w:tc>
          <w:tcPr>
            <w:tcW w:type="dxa" w:w="2835"/>
            <w:vAlign w:val="center"/>
          </w:tcPr>
          <w:p>
            <w:pPr>
              <w:jc w:val="left"/>
            </w:pPr>
            <w:r/>
            <w:r>
              <w:rPr>
                <w:rFonts w:ascii="Times New Roman" w:hAnsi="Times New Roman"/>
                <w:b w:val="0"/>
                <w:color w:val="000000"/>
                <w:sz w:val="20"/>
              </w:rPr>
              <w:t>Ampliación / Nuevas áreas</w:t>
            </w:r>
          </w:p>
        </w:tc>
        <w:tc>
          <w:tcPr>
            <w:tcW w:type="dxa" w:w="3685"/>
            <w:vAlign w:val="center"/>
          </w:tcPr>
          <w:p>
            <w:pPr>
              <w:jc w:val="left"/>
            </w:pPr>
            <w:r/>
            <w:r>
              <w:rPr>
                <w:rFonts w:ascii="Times New Roman" w:hAnsi="Times New Roman"/>
                <w:b w:val="0"/>
                <w:color w:val="000000"/>
                <w:sz w:val="20"/>
              </w:rPr>
              <w:t>Déficit_área × VR_constr × FD × IPC × 1,14</w:t>
            </w:r>
          </w:p>
        </w:tc>
        <w:tc>
          <w:tcPr>
            <w:tcW w:type="dxa" w:w="1701"/>
            <w:vAlign w:val="center"/>
          </w:tcPr>
          <w:p>
            <w:pPr>
              <w:jc w:val="right"/>
            </w:pPr>
            <w:r/>
            <w:r>
              <w:rPr>
                <w:rFonts w:ascii="Times New Roman" w:hAnsi="Times New Roman"/>
                <w:b w:val="0"/>
                <w:color w:val="000000"/>
                <w:sz w:val="20"/>
              </w:rPr>
              <w:t>1.643.000</w:t>
            </w:r>
          </w:p>
        </w:tc>
        <w:tc>
          <w:tcPr>
            <w:tcW w:type="dxa" w:w="850"/>
            <w:vAlign w:val="center"/>
          </w:tcPr>
          <w:p>
            <w:pPr>
              <w:jc w:val="right"/>
            </w:pPr>
            <w:r/>
            <w:r>
              <w:rPr>
                <w:rFonts w:ascii="Times New Roman" w:hAnsi="Times New Roman"/>
                <w:b w:val="0"/>
                <w:color w:val="000000"/>
                <w:sz w:val="20"/>
              </w:rPr>
              <w:t>79,1%</w:t>
            </w:r>
          </w:p>
        </w:tc>
      </w:tr>
      <w:tr>
        <w:tc>
          <w:tcPr>
            <w:tcW w:type="dxa" w:w="2835"/>
            <w:vAlign w:val="center"/>
          </w:tcPr>
          <w:p>
            <w:pPr>
              <w:jc w:val="left"/>
            </w:pPr>
            <w:r/>
            <w:r>
              <w:rPr>
                <w:rFonts w:ascii="Times New Roman" w:hAnsi="Times New Roman"/>
                <w:b w:val="0"/>
                <w:color w:val="000000"/>
                <w:sz w:val="20"/>
              </w:rPr>
              <w:t>Intervención arquitectónica</w:t>
            </w:r>
          </w:p>
        </w:tc>
        <w:tc>
          <w:tcPr>
            <w:tcW w:type="dxa" w:w="3685"/>
            <w:vAlign w:val="center"/>
          </w:tcPr>
          <w:p>
            <w:pPr>
              <w:jc w:val="left"/>
            </w:pPr>
            <w:r/>
            <w:r>
              <w:rPr>
                <w:rFonts w:ascii="Times New Roman" w:hAnsi="Times New Roman"/>
                <w:b w:val="0"/>
                <w:color w:val="000000"/>
                <w:sz w:val="20"/>
              </w:rPr>
              <w:t>Áreas existentes × Factor calidad × VR_arq.</w:t>
            </w:r>
          </w:p>
        </w:tc>
        <w:tc>
          <w:tcPr>
            <w:tcW w:type="dxa" w:w="1701"/>
            <w:vAlign w:val="center"/>
          </w:tcPr>
          <w:p>
            <w:pPr>
              <w:jc w:val="right"/>
            </w:pPr>
            <w:r/>
            <w:r>
              <w:rPr>
                <w:rFonts w:ascii="Times New Roman" w:hAnsi="Times New Roman"/>
                <w:b w:val="0"/>
                <w:color w:val="000000"/>
                <w:sz w:val="20"/>
              </w:rPr>
              <w:t>186.000</w:t>
            </w:r>
          </w:p>
        </w:tc>
        <w:tc>
          <w:tcPr>
            <w:tcW w:type="dxa" w:w="850"/>
            <w:vAlign w:val="center"/>
          </w:tcPr>
          <w:p>
            <w:pPr>
              <w:jc w:val="right"/>
            </w:pPr>
            <w:r/>
            <w:r>
              <w:rPr>
                <w:rFonts w:ascii="Times New Roman" w:hAnsi="Times New Roman"/>
                <w:b w:val="0"/>
                <w:color w:val="000000"/>
                <w:sz w:val="20"/>
              </w:rPr>
              <w:t>9,0%</w:t>
            </w:r>
          </w:p>
        </w:tc>
      </w:tr>
      <w:tr>
        <w:tc>
          <w:tcPr>
            <w:tcW w:type="dxa" w:w="2835"/>
            <w:vAlign w:val="center"/>
          </w:tcPr>
          <w:p>
            <w:pPr>
              <w:jc w:val="left"/>
            </w:pPr>
            <w:r/>
            <w:r>
              <w:rPr>
                <w:rFonts w:ascii="Times New Roman" w:hAnsi="Times New Roman"/>
                <w:b w:val="0"/>
                <w:color w:val="000000"/>
                <w:sz w:val="20"/>
              </w:rPr>
              <w:t>Sistema eléctrico</w:t>
            </w:r>
          </w:p>
        </w:tc>
        <w:tc>
          <w:tcPr>
            <w:tcW w:type="dxa" w:w="3685"/>
            <w:vAlign w:val="center"/>
          </w:tcPr>
          <w:p>
            <w:pPr>
              <w:jc w:val="left"/>
            </w:pPr>
            <w:r/>
            <w:r>
              <w:rPr>
                <w:rFonts w:ascii="Times New Roman" w:hAnsi="Times New Roman"/>
                <w:b w:val="0"/>
                <w:color w:val="000000"/>
                <w:sz w:val="20"/>
              </w:rPr>
              <w:t>Red interna + tableros + polo a tierra.</w:t>
            </w:r>
          </w:p>
        </w:tc>
        <w:tc>
          <w:tcPr>
            <w:tcW w:type="dxa" w:w="1701"/>
            <w:vAlign w:val="center"/>
          </w:tcPr>
          <w:p>
            <w:pPr>
              <w:jc w:val="right"/>
            </w:pPr>
            <w:r/>
            <w:r>
              <w:rPr>
                <w:rFonts w:ascii="Times New Roman" w:hAnsi="Times New Roman"/>
                <w:b w:val="0"/>
                <w:color w:val="000000"/>
                <w:sz w:val="20"/>
              </w:rPr>
              <w:t>70.000</w:t>
            </w:r>
          </w:p>
        </w:tc>
        <w:tc>
          <w:tcPr>
            <w:tcW w:type="dxa" w:w="850"/>
            <w:vAlign w:val="center"/>
          </w:tcPr>
          <w:p>
            <w:pPr>
              <w:jc w:val="right"/>
            </w:pPr>
            <w:r/>
            <w:r>
              <w:rPr>
                <w:rFonts w:ascii="Times New Roman" w:hAnsi="Times New Roman"/>
                <w:b w:val="0"/>
                <w:color w:val="000000"/>
                <w:sz w:val="20"/>
              </w:rPr>
              <w:t>3,4%</w:t>
            </w:r>
          </w:p>
        </w:tc>
      </w:tr>
      <w:tr>
        <w:tc>
          <w:tcPr>
            <w:tcW w:type="dxa" w:w="2835"/>
            <w:vAlign w:val="center"/>
          </w:tcPr>
          <w:p>
            <w:pPr>
              <w:jc w:val="left"/>
            </w:pPr>
            <w:r/>
            <w:r>
              <w:rPr>
                <w:rFonts w:ascii="Times New Roman" w:hAnsi="Times New Roman"/>
                <w:b w:val="0"/>
                <w:color w:val="000000"/>
                <w:sz w:val="20"/>
              </w:rPr>
              <w:t>Redes hidrosanitarias</w:t>
            </w:r>
          </w:p>
        </w:tc>
        <w:tc>
          <w:tcPr>
            <w:tcW w:type="dxa" w:w="3685"/>
            <w:vAlign w:val="center"/>
          </w:tcPr>
          <w:p>
            <w:pPr>
              <w:jc w:val="left"/>
            </w:pPr>
            <w:r/>
            <w:r>
              <w:rPr>
                <w:rFonts w:ascii="Times New Roman" w:hAnsi="Times New Roman"/>
                <w:b w:val="0"/>
                <w:color w:val="000000"/>
                <w:sz w:val="20"/>
              </w:rPr>
              <w:t>Red hidráulica, sanitaria, tanques.</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Urbanismo / cerramientos</w:t>
            </w:r>
          </w:p>
        </w:tc>
        <w:tc>
          <w:tcPr>
            <w:tcW w:type="dxa" w:w="3685"/>
            <w:vAlign w:val="center"/>
          </w:tcPr>
          <w:p>
            <w:pPr>
              <w:jc w:val="left"/>
            </w:pPr>
            <w:r/>
            <w:r>
              <w:rPr>
                <w:rFonts w:ascii="Times New Roman" w:hAnsi="Times New Roman"/>
                <w:b w:val="0"/>
                <w:color w:val="000000"/>
                <w:sz w:val="20"/>
              </w:rPr>
              <w:t>Andenes, cerramientos, canchas.</w:t>
            </w:r>
          </w:p>
        </w:tc>
        <w:tc>
          <w:tcPr>
            <w:tcW w:type="dxa" w:w="1701"/>
            <w:vAlign w:val="center"/>
          </w:tcPr>
          <w:p>
            <w:pPr>
              <w:jc w:val="right"/>
            </w:pPr>
            <w:r/>
            <w:r>
              <w:rPr>
                <w:rFonts w:ascii="Times New Roman" w:hAnsi="Times New Roman"/>
                <w:b w:val="0"/>
                <w:color w:val="000000"/>
                <w:sz w:val="20"/>
              </w:rPr>
              <w:t>85.000</w:t>
            </w:r>
          </w:p>
        </w:tc>
        <w:tc>
          <w:tcPr>
            <w:tcW w:type="dxa" w:w="850"/>
            <w:vAlign w:val="center"/>
          </w:tcPr>
          <w:p>
            <w:pPr>
              <w:jc w:val="right"/>
            </w:pPr>
            <w:r/>
            <w:r>
              <w:rPr>
                <w:rFonts w:ascii="Times New Roman" w:hAnsi="Times New Roman"/>
                <w:b w:val="0"/>
                <w:color w:val="000000"/>
                <w:sz w:val="20"/>
              </w:rPr>
              <w:t>4,1%</w:t>
            </w:r>
          </w:p>
        </w:tc>
      </w:tr>
      <w:tr>
        <w:tc>
          <w:tcPr>
            <w:tcW w:type="dxa" w:w="2835"/>
            <w:vAlign w:val="center"/>
          </w:tcPr>
          <w:p>
            <w:pPr>
              <w:jc w:val="left"/>
            </w:pPr>
            <w:r/>
            <w:r>
              <w:rPr>
                <w:rFonts w:ascii="Times New Roman" w:hAnsi="Times New Roman"/>
                <w:b w:val="0"/>
                <w:color w:val="000000"/>
                <w:sz w:val="20"/>
              </w:rPr>
              <w:t>Dotación / mobiliario</w:t>
            </w:r>
          </w:p>
        </w:tc>
        <w:tc>
          <w:tcPr>
            <w:tcW w:type="dxa" w:w="3685"/>
            <w:vAlign w:val="center"/>
          </w:tcPr>
          <w:p>
            <w:pPr>
              <w:jc w:val="left"/>
            </w:pPr>
            <w:r/>
            <w:r>
              <w:rPr>
                <w:rFonts w:ascii="Times New Roman" w:hAnsi="Times New Roman"/>
                <w:b w:val="0"/>
                <w:color w:val="000000"/>
                <w:sz w:val="20"/>
              </w:rPr>
              <w:t>Equipamiento base nuevo.</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Total Brecha Funcional</w:t>
            </w:r>
          </w:p>
        </w:tc>
        <w:tc>
          <w:tcPr>
            <w:tcW w:type="dxa" w:w="3685"/>
            <w:vAlign w:val="center"/>
          </w:tcPr>
          <w:p>
            <w:pPr>
              <w:jc w:val="left"/>
            </w:pPr>
            <w:r/>
            <w:r>
              <w:rPr>
                <w:rFonts w:ascii="Times New Roman" w:hAnsi="Times New Roman"/>
                <w:b w:val="0"/>
                <w:color w:val="000000"/>
                <w:sz w:val="20"/>
              </w:rPr>
              <w:t>—</w:t>
            </w:r>
          </w:p>
        </w:tc>
        <w:tc>
          <w:tcPr>
            <w:tcW w:type="dxa" w:w="1701"/>
            <w:vAlign w:val="center"/>
          </w:tcPr>
          <w:p>
            <w:pPr>
              <w:jc w:val="right"/>
            </w:pPr>
            <w:r/>
            <w:r>
              <w:rPr>
                <w:rFonts w:ascii="Times New Roman" w:hAnsi="Times New Roman"/>
                <w:b w:val="0"/>
                <w:color w:val="000000"/>
                <w:sz w:val="20"/>
              </w:rPr>
              <w:t>2.076.000</w:t>
            </w:r>
          </w:p>
        </w:tc>
        <w:tc>
          <w:tcPr>
            <w:tcW w:type="dxa" w:w="850"/>
            <w:vAlign w:val="center"/>
          </w:tcPr>
          <w:p>
            <w:pPr>
              <w:jc w:val="right"/>
            </w:pPr>
            <w:r/>
            <w:r>
              <w:rPr>
                <w:rFonts w:ascii="Times New Roman" w:hAnsi="Times New Roman"/>
                <w:b w:val="0"/>
                <w:color w:val="000000"/>
                <w:sz w:val="20"/>
              </w:rPr>
              <w:t>100%</w:t>
            </w:r>
          </w:p>
        </w:tc>
      </w:tr>
    </w:tbl>
    <w:p>
      <w:pPr>
        <w:jc w:val="both"/>
      </w:pPr>
      <w:r>
        <w:rPr>
          <w:rFonts w:ascii="Times New Roman" w:hAnsi="Times New Roman"/>
          <w:b w:val="0"/>
          <w:i/>
          <w:color w:val="747474"/>
          <w:sz w:val="18"/>
        </w:rPr>
        <w:t>Nota metodológica: el factor de calidad sigue una interpolación lineal entre los cuatro puntos discretos del PMIE (cal 1,0→100% · cal 2,0→75% · cal 3,0→50% · cal 4,0→25%), lo que permite procesar las calificaciones decimales (promedios ponderados por bloque) que entrega el archivo BASE CONSOLIDADA BRECHA FUNCIONAL.</w:t>
      </w:r>
    </w:p>
    <w:p>
      <w:pPr>
        <w:jc w:val="center"/>
      </w:pPr>
      <w:r>
        <w:rPr>
          <w:rFonts w:ascii="Times New Roman" w:hAnsi="Times New Roman"/>
          <w:b/>
          <w:color w:val="0F4761"/>
          <w:sz w:val="20"/>
        </w:rPr>
        <w:t>Figura 7. Brecha funcional desagregada por componente.</w:t>
      </w:r>
    </w:p>
    <w:p>
      <w:pPr>
        <w:jc w:val="center"/>
      </w:pPr>
      <w:r>
        <w:drawing>
          <wp:inline xmlns:a="http://schemas.openxmlformats.org/drawingml/2006/main" xmlns:pic="http://schemas.openxmlformats.org/drawingml/2006/picture">
            <wp:extent cx="5400000" cy="3338931"/>
            <wp:docPr id="6" name="Picture 6"/>
            <wp:cNvGraphicFramePr>
              <a:graphicFrameLocks noChangeAspect="1"/>
            </wp:cNvGraphicFramePr>
            <a:graphic>
              <a:graphicData uri="http://schemas.openxmlformats.org/drawingml/2006/picture">
                <pic:pic>
                  <pic:nvPicPr>
                    <pic:cNvPr id="0" name="G3_brecha_funcional.png"/>
                    <pic:cNvPicPr/>
                  </pic:nvPicPr>
                  <pic:blipFill>
                    <a:blip r:embed="rId14"/>
                    <a:stretch>
                      <a:fillRect/>
                    </a:stretch>
                  </pic:blipFill>
                  <pic:spPr>
                    <a:xfrm>
                      <a:off x="0" y="0"/>
                      <a:ext cx="5400000" cy="333893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Brecha Funcional se desagrega en seis componentes que permiten dimensionar la naturaleza de las intervenciones requeridas. Las ampliaciones y nuevas áreas concentran el 79,1% del valor —reflejo del déficit estructural de capacidad— mientras que las adecuaciones arquitectónicas suman el 9,0%. Los componentes técnicos (eléctrico, hidrosanitario, urbanismo, dotación) representan el restante 11,9%. Cada componente incorpora el 14% de overhead por estudios e interventoría (7% + 7%). Esta desagregación permite identificar dónde requiere mayor capacidad técnica la entidad ejecutora (construcción nueva vs. adecuaciones), y se utiliza para priorizar las fases temporales de la inversión.</w:t>
      </w:r>
    </w:p>
    <w:p>
      <w:r>
        <w:rPr>
          <w:rFonts w:ascii="Times New Roman" w:hAnsi="Times New Roman"/>
          <w:b/>
          <w:color w:val="0F4761"/>
          <w:sz w:val="20"/>
        </w:rPr>
        <w:t>Indicadores clave:</w:t>
      </w:r>
    </w:p>
    <w:p>
      <w:pPr>
        <w:pStyle w:val="ListBullet"/>
      </w:pPr>
      <w:r>
        <w:rPr>
          <w:rFonts w:ascii="Times New Roman" w:hAnsi="Times New Roman"/>
          <w:sz w:val="20"/>
        </w:rPr>
        <w:t>Componente dominante: Ampliación / nuevas áreas — $1.643 MM (79,1%)</w:t>
      </w:r>
    </w:p>
    <w:p>
      <w:pPr>
        <w:pStyle w:val="ListBullet"/>
      </w:pPr>
      <w:r>
        <w:rPr>
          <w:rFonts w:ascii="Times New Roman" w:hAnsi="Times New Roman"/>
          <w:sz w:val="20"/>
        </w:rPr>
        <w:t>Total Brecha Funcional: $2.076 MM COP</w:t>
      </w:r>
    </w:p>
    <w:p>
      <w:pPr>
        <w:pStyle w:val="ListBullet"/>
      </w:pPr>
      <w:r>
        <w:rPr>
          <w:rFonts w:ascii="Times New Roman" w:hAnsi="Times New Roman"/>
          <w:sz w:val="20"/>
        </w:rPr>
        <w:t>Overhead aplicado: 14% (7% estudios + 7% interventoría)</w:t>
      </w:r>
    </w:p>
    <w:p>
      <w:pPr>
        <w:pStyle w:val="Heading2"/>
      </w:pPr>
      <w:r>
        <w:t>5.5 Brechas consolidadas</w:t>
      </w:r>
    </w:p>
    <w:p>
      <w:pPr>
        <w:jc w:val="both"/>
      </w:pPr>
      <w:r>
        <w:rPr>
          <w:rFonts w:ascii="Times New Roman" w:hAnsi="Times New Roman"/>
          <w:b w:val="0"/>
          <w:i/>
          <w:color w:val="0F4761"/>
          <w:sz w:val="20"/>
        </w:rPr>
        <w:t>Tabla 13. Brechas consolidadas y cobertura — valores totales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3402"/>
            <w:shd w:val="clear" w:color="auto" w:fill="0F4761"/>
            <w:vAlign w:val="center"/>
          </w:tcPr>
          <w:p>
            <w:pPr>
              <w:jc w:val="center"/>
            </w:pPr>
            <w:r/>
            <w:r>
              <w:rPr>
                <w:rFonts w:ascii="Times New Roman" w:hAnsi="Times New Roman"/>
                <w:b/>
                <w:color w:val="FFFFFF"/>
                <w:sz w:val="20"/>
              </w:rPr>
              <w:t>Concepto</w:t>
            </w:r>
          </w:p>
        </w:tc>
        <w:tc>
          <w:tcPr>
            <w:tcW w:type="dxa" w:w="2268"/>
            <w:shd w:val="clear" w:color="auto" w:fill="0F4761"/>
            <w:vAlign w:val="center"/>
          </w:tcPr>
          <w:p>
            <w:pPr>
              <w:jc w:val="center"/>
            </w:pPr>
            <w:r/>
            <w:r>
              <w:rPr>
                <w:rFonts w:ascii="Times New Roman" w:hAnsi="Times New Roman"/>
                <w:b/>
                <w:color w:val="FFFFFF"/>
                <w:sz w:val="20"/>
              </w:rPr>
              <w:t>Norma de referencia</w:t>
            </w:r>
          </w:p>
        </w:tc>
        <w:tc>
          <w:tcPr>
            <w:tcW w:type="dxa" w:w="1984"/>
            <w:shd w:val="clear" w:color="auto" w:fill="0F4761"/>
            <w:vAlign w:val="center"/>
          </w:tcPr>
          <w:p>
            <w:pPr>
              <w:jc w:val="center"/>
            </w:pPr>
            <w:r/>
            <w:r>
              <w:rPr>
                <w:rFonts w:ascii="Times New Roman" w:hAnsi="Times New Roman"/>
                <w:b/>
                <w:color w:val="FFFFFF"/>
                <w:sz w:val="20"/>
              </w:rPr>
              <w:t>Monto (MM COP)</w:t>
            </w:r>
          </w:p>
        </w:tc>
        <w:tc>
          <w:tcPr>
            <w:tcW w:type="dxa" w:w="1417"/>
            <w:shd w:val="clear" w:color="auto" w:fill="0F4761"/>
            <w:vAlign w:val="center"/>
          </w:tcPr>
          <w:p>
            <w:pPr>
              <w:jc w:val="center"/>
            </w:pPr>
            <w:r/>
            <w:r>
              <w:rPr>
                <w:rFonts w:ascii="Times New Roman" w:hAnsi="Times New Roman"/>
                <w:b/>
                <w:color w:val="FFFFFF"/>
                <w:sz w:val="20"/>
              </w:rPr>
              <w:t>% Plan</w:t>
            </w:r>
          </w:p>
        </w:tc>
      </w:tr>
      <w:tr>
        <w:tc>
          <w:tcPr>
            <w:tcW w:type="dxa" w:w="3402"/>
            <w:vAlign w:val="center"/>
          </w:tcPr>
          <w:p>
            <w:pPr>
              <w:jc w:val="left"/>
            </w:pPr>
            <w:r/>
            <w:r>
              <w:rPr>
                <w:rFonts w:ascii="Times New Roman" w:hAnsi="Times New Roman"/>
                <w:b w:val="0"/>
                <w:color w:val="000000"/>
                <w:sz w:val="20"/>
              </w:rPr>
              <w:t>Brecha Funcional (BF)</w:t>
            </w:r>
          </w:p>
        </w:tc>
        <w:tc>
          <w:tcPr>
            <w:tcW w:type="dxa" w:w="2268"/>
            <w:vAlign w:val="center"/>
          </w:tcPr>
          <w:p>
            <w:pPr>
              <w:jc w:val="left"/>
            </w:pPr>
            <w:r/>
            <w:r>
              <w:rPr>
                <w:rFonts w:ascii="Times New Roman" w:hAnsi="Times New Roman"/>
                <w:b w:val="0"/>
                <w:color w:val="000000"/>
                <w:sz w:val="20"/>
              </w:rPr>
              <w:t>NTC 4595</w:t>
            </w:r>
          </w:p>
        </w:tc>
        <w:tc>
          <w:tcPr>
            <w:tcW w:type="dxa" w:w="1984"/>
            <w:vAlign w:val="center"/>
          </w:tcPr>
          <w:p>
            <w:pPr>
              <w:jc w:val="right"/>
            </w:pPr>
            <w:r/>
            <w:r>
              <w:rPr>
                <w:rFonts w:ascii="Times New Roman" w:hAnsi="Times New Roman"/>
                <w:b w:val="0"/>
                <w:color w:val="000000"/>
                <w:sz w:val="20"/>
              </w:rPr>
              <w:t>2.076.000</w:t>
            </w:r>
          </w:p>
        </w:tc>
        <w:tc>
          <w:tcPr>
            <w:tcW w:type="dxa" w:w="1417"/>
            <w:vAlign w:val="center"/>
          </w:tcPr>
          <w:p>
            <w:pPr>
              <w:jc w:val="right"/>
            </w:pPr>
            <w:r/>
            <w:r>
              <w:rPr>
                <w:rFonts w:ascii="Times New Roman" w:hAnsi="Times New Roman"/>
                <w:b w:val="0"/>
                <w:color w:val="000000"/>
                <w:sz w:val="20"/>
              </w:rPr>
              <w:t>48,6%</w:t>
            </w:r>
          </w:p>
        </w:tc>
      </w:tr>
      <w:tr>
        <w:tc>
          <w:tcPr>
            <w:tcW w:type="dxa" w:w="3402"/>
            <w:vAlign w:val="center"/>
          </w:tcPr>
          <w:p>
            <w:pPr>
              <w:jc w:val="left"/>
            </w:pPr>
            <w:r/>
            <w:r>
              <w:rPr>
                <w:rFonts w:ascii="Times New Roman" w:hAnsi="Times New Roman"/>
                <w:b w:val="0"/>
                <w:color w:val="000000"/>
                <w:sz w:val="20"/>
              </w:rPr>
              <w:t>Brecha Estructural (BE) — sólo refuerzo</w:t>
            </w:r>
          </w:p>
        </w:tc>
        <w:tc>
          <w:tcPr>
            <w:tcW w:type="dxa" w:w="2268"/>
            <w:vAlign w:val="center"/>
          </w:tcPr>
          <w:p>
            <w:pPr>
              <w:jc w:val="left"/>
            </w:pPr>
            <w:r/>
            <w:r>
              <w:rPr>
                <w:rFonts w:ascii="Times New Roman" w:hAnsi="Times New Roman"/>
                <w:b w:val="0"/>
                <w:color w:val="000000"/>
                <w:sz w:val="20"/>
              </w:rPr>
              <w:t>NSR-10</w:t>
            </w:r>
          </w:p>
        </w:tc>
        <w:tc>
          <w:tcPr>
            <w:tcW w:type="dxa" w:w="1984"/>
            <w:vAlign w:val="center"/>
          </w:tcPr>
          <w:p>
            <w:pPr>
              <w:jc w:val="right"/>
            </w:pPr>
            <w:r/>
            <w:r>
              <w:rPr>
                <w:rFonts w:ascii="Times New Roman" w:hAnsi="Times New Roman"/>
                <w:b w:val="0"/>
                <w:color w:val="000000"/>
                <w:sz w:val="20"/>
              </w:rPr>
              <w:t>796.000</w:t>
            </w:r>
          </w:p>
        </w:tc>
        <w:tc>
          <w:tcPr>
            <w:tcW w:type="dxa" w:w="1417"/>
            <w:vAlign w:val="center"/>
          </w:tcPr>
          <w:p>
            <w:pPr>
              <w:jc w:val="right"/>
            </w:pPr>
            <w:r/>
            <w:r>
              <w:rPr>
                <w:rFonts w:ascii="Times New Roman" w:hAnsi="Times New Roman"/>
                <w:b w:val="0"/>
                <w:color w:val="000000"/>
                <w:sz w:val="20"/>
              </w:rPr>
              <w:t>18,6%</w:t>
            </w:r>
          </w:p>
        </w:tc>
      </w:tr>
      <w:tr>
        <w:tc>
          <w:tcPr>
            <w:tcW w:type="dxa" w:w="3402"/>
            <w:vAlign w:val="center"/>
          </w:tcPr>
          <w:p>
            <w:pPr>
              <w:jc w:val="left"/>
            </w:pPr>
            <w:r/>
            <w:r>
              <w:rPr>
                <w:rFonts w:ascii="Times New Roman" w:hAnsi="Times New Roman"/>
                <w:b w:val="0"/>
                <w:color w:val="000000"/>
                <w:sz w:val="20"/>
              </w:rPr>
              <w:t>Brecha Consolidada (BC = BF + BE)</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2.872.000</w:t>
            </w:r>
          </w:p>
        </w:tc>
        <w:tc>
          <w:tcPr>
            <w:tcW w:type="dxa" w:w="1417"/>
            <w:vAlign w:val="center"/>
          </w:tcPr>
          <w:p>
            <w:pPr>
              <w:jc w:val="right"/>
            </w:pPr>
            <w:r/>
            <w:r>
              <w:rPr>
                <w:rFonts w:ascii="Times New Roman" w:hAnsi="Times New Roman"/>
                <w:b w:val="0"/>
                <w:color w:val="000000"/>
                <w:sz w:val="20"/>
              </w:rPr>
              <w:t>67,2%</w:t>
            </w:r>
          </w:p>
        </w:tc>
      </w:tr>
      <w:tr>
        <w:tc>
          <w:tcPr>
            <w:tcW w:type="dxa" w:w="3402"/>
            <w:vAlign w:val="center"/>
          </w:tcPr>
          <w:p>
            <w:pPr>
              <w:jc w:val="left"/>
            </w:pPr>
            <w:r/>
            <w:r>
              <w:rPr>
                <w:rFonts w:ascii="Times New Roman" w:hAnsi="Times New Roman"/>
                <w:b w:val="0"/>
                <w:color w:val="000000"/>
                <w:sz w:val="20"/>
              </w:rPr>
              <w:t>Cobertura matrícula NO OFICIAL</w:t>
            </w:r>
          </w:p>
        </w:tc>
        <w:tc>
          <w:tcPr>
            <w:tcW w:type="dxa" w:w="2268"/>
            <w:vAlign w:val="center"/>
          </w:tcPr>
          <w:p>
            <w:pPr>
              <w:jc w:val="left"/>
            </w:pPr>
            <w:r/>
            <w:r>
              <w:rPr>
                <w:rFonts w:ascii="Times New Roman" w:hAnsi="Times New Roman"/>
                <w:b w:val="0"/>
                <w:color w:val="000000"/>
                <w:sz w:val="20"/>
              </w:rPr>
              <w:t>NTC 6705 (5,36 m²/est.)</w:t>
            </w:r>
          </w:p>
        </w:tc>
        <w:tc>
          <w:tcPr>
            <w:tcW w:type="dxa" w:w="1984"/>
            <w:vAlign w:val="center"/>
          </w:tcPr>
          <w:p>
            <w:pPr>
              <w:jc w:val="right"/>
            </w:pPr>
            <w:r/>
            <w:r>
              <w:rPr>
                <w:rFonts w:ascii="Times New Roman" w:hAnsi="Times New Roman"/>
                <w:b w:val="0"/>
                <w:color w:val="000000"/>
                <w:sz w:val="20"/>
              </w:rPr>
              <w:t>771.803</w:t>
            </w:r>
          </w:p>
        </w:tc>
        <w:tc>
          <w:tcPr>
            <w:tcW w:type="dxa" w:w="1417"/>
            <w:vAlign w:val="center"/>
          </w:tcPr>
          <w:p>
            <w:pPr>
              <w:jc w:val="right"/>
            </w:pPr>
            <w:r/>
            <w:r>
              <w:rPr>
                <w:rFonts w:ascii="Times New Roman" w:hAnsi="Times New Roman"/>
                <w:b w:val="0"/>
                <w:color w:val="000000"/>
                <w:sz w:val="20"/>
              </w:rPr>
              <w:t>18,1%</w:t>
            </w:r>
          </w:p>
        </w:tc>
      </w:tr>
      <w:tr>
        <w:tc>
          <w:tcPr>
            <w:tcW w:type="dxa" w:w="3402"/>
            <w:vAlign w:val="center"/>
          </w:tcPr>
          <w:p>
            <w:pPr>
              <w:jc w:val="left"/>
            </w:pPr>
            <w:r/>
            <w:r>
              <w:rPr>
                <w:rFonts w:ascii="Times New Roman" w:hAnsi="Times New Roman"/>
                <w:b w:val="0"/>
                <w:color w:val="000000"/>
                <w:sz w:val="20"/>
              </w:rPr>
              <w:t>P6 — Cierre + nuevas sedes redistribución</w:t>
            </w:r>
          </w:p>
        </w:tc>
        <w:tc>
          <w:tcPr>
            <w:tcW w:type="dxa" w:w="2268"/>
            <w:vAlign w:val="center"/>
          </w:tcPr>
          <w:p>
            <w:pPr>
              <w:jc w:val="left"/>
            </w:pPr>
            <w:r/>
            <w:r>
              <w:rPr>
                <w:rFonts w:ascii="Times New Roman" w:hAnsi="Times New Roman"/>
                <w:b w:val="0"/>
                <w:color w:val="000000"/>
                <w:sz w:val="20"/>
              </w:rPr>
              <w:t>NTC 4595 + NSR-10</w:t>
            </w:r>
          </w:p>
        </w:tc>
        <w:tc>
          <w:tcPr>
            <w:tcW w:type="dxa" w:w="1984"/>
            <w:vAlign w:val="center"/>
          </w:tcPr>
          <w:p>
            <w:pPr>
              <w:jc w:val="right"/>
            </w:pPr>
            <w:r/>
            <w:r>
              <w:rPr>
                <w:rFonts w:ascii="Times New Roman" w:hAnsi="Times New Roman"/>
                <w:b w:val="0"/>
                <w:color w:val="000000"/>
                <w:sz w:val="20"/>
              </w:rPr>
              <w:t>1.800.196</w:t>
            </w:r>
          </w:p>
        </w:tc>
        <w:tc>
          <w:tcPr>
            <w:tcW w:type="dxa" w:w="1417"/>
            <w:vAlign w:val="center"/>
          </w:tcPr>
          <w:p>
            <w:pPr>
              <w:jc w:val="right"/>
            </w:pPr>
            <w:r/>
            <w:r>
              <w:rPr>
                <w:rFonts w:ascii="Times New Roman" w:hAnsi="Times New Roman"/>
                <w:b w:val="0"/>
                <w:color w:val="000000"/>
                <w:sz w:val="20"/>
              </w:rPr>
              <w:t>42,1%</w:t>
            </w:r>
          </w:p>
        </w:tc>
      </w:tr>
      <w:tr>
        <w:tc>
          <w:tcPr>
            <w:tcW w:type="dxa" w:w="3402"/>
            <w:vAlign w:val="center"/>
          </w:tcPr>
          <w:p>
            <w:pPr>
              <w:jc w:val="left"/>
            </w:pPr>
            <w:r/>
            <w:r>
              <w:rPr>
                <w:rFonts w:ascii="Times New Roman" w:hAnsi="Times New Roman"/>
                <w:b w:val="0"/>
                <w:color w:val="000000"/>
                <w:sz w:val="20"/>
              </w:rPr>
              <w:t>TOTAL PLAN PMIE 2026</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4.274.180</w:t>
            </w:r>
          </w:p>
        </w:tc>
        <w:tc>
          <w:tcPr>
            <w:tcW w:type="dxa" w:w="1417"/>
            <w:vAlign w:val="center"/>
          </w:tcPr>
          <w:p>
            <w:pPr>
              <w:jc w:val="right"/>
            </w:pPr>
            <w:r/>
            <w:r>
              <w:rPr>
                <w:rFonts w:ascii="Times New Roman" w:hAnsi="Times New Roman"/>
                <w:b w:val="0"/>
                <w:color w:val="000000"/>
                <w:sz w:val="20"/>
              </w:rPr>
              <w:t>100%</w:t>
            </w:r>
          </w:p>
        </w:tc>
      </w:tr>
    </w:tbl>
    <w:p>
      <w:r>
        <w:br w:type="page"/>
      </w:r>
    </w:p>
    <w:p>
      <w:pPr>
        <w:jc w:val="center"/>
      </w:pPr>
      <w:r>
        <w:rPr>
          <w:rFonts w:ascii="Times New Roman" w:hAnsi="Times New Roman"/>
          <w:b/>
          <w:color w:val="0F4761"/>
          <w:sz w:val="44"/>
        </w:rPr>
        <w:t>Parte III</w:t>
      </w:r>
    </w:p>
    <w:p>
      <w:pPr>
        <w:jc w:val="center"/>
      </w:pPr>
      <w:r>
        <w:rPr>
          <w:rFonts w:ascii="Times New Roman" w:hAnsi="Times New Roman"/>
          <w:b/>
          <w:color w:val="0F4761"/>
          <w:sz w:val="32"/>
        </w:rPr>
        <w:t>Retos del Sector Educativo</w:t>
      </w:r>
    </w:p>
    <w:p/>
    <w:p>
      <w:pPr>
        <w:jc w:val="center"/>
      </w:pPr>
      <w:r>
        <w:rPr>
          <w:rFonts w:ascii="Times New Roman" w:hAnsi="Times New Roman"/>
          <w:b/>
          <w:color w:val="0F4761"/>
          <w:sz w:val="20"/>
        </w:rPr>
        <w:t>Figura 13. Brechas consolidadas vs. Total del Plan PMIE 2026.</w:t>
      </w:r>
    </w:p>
    <w:p>
      <w:pPr>
        <w:jc w:val="center"/>
      </w:pPr>
      <w:r>
        <w:drawing>
          <wp:inline xmlns:a="http://schemas.openxmlformats.org/drawingml/2006/main" xmlns:pic="http://schemas.openxmlformats.org/drawingml/2006/picture">
            <wp:extent cx="5400000" cy="2931081"/>
            <wp:docPr id="12" name="Picture 12"/>
            <wp:cNvGraphicFramePr>
              <a:graphicFrameLocks noChangeAspect="1"/>
            </wp:cNvGraphicFramePr>
            <a:graphic>
              <a:graphicData uri="http://schemas.openxmlformats.org/drawingml/2006/picture">
                <pic:pic>
                  <pic:nvPicPr>
                    <pic:cNvPr id="0" name="G11_brechas_plan.png"/>
                    <pic:cNvPicPr/>
                  </pic:nvPicPr>
                  <pic:blipFill>
                    <a:blip r:embed="rId20"/>
                    <a:stretch>
                      <a:fillRect/>
                    </a:stretch>
                  </pic:blipFill>
                  <pic:spPr>
                    <a:xfrm>
                      <a:off x="0" y="0"/>
                      <a:ext cx="5400000" cy="293108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gráfico permite contrastar la magnitud de las brechas identificadas en el diagnóstico (BF $2.076 MM + BE $796 MM = BC $2.872 MM) con el valor total del Plan ($4.274 MM). La diferencia entre BC y Plan ($1.402 MM) se explica por dos conceptos adicionales: la cobertura para 19.785 estudiantes en sedes NO OFICIALES (proyectable a más de 42.000 con matrícula 2026) que requieren nueva infraestructura oficial ($772 MM), y los costos de cierre y construcción de sedes receptoras de matrícula redistribuida ($1.800 MM en P6). Esta validación cuantitativa confirma que Plan ≥ BC, lo que garantiza que ninguna brecha identificada queda sin atención presupuestal.</w:t>
      </w:r>
    </w:p>
    <w:p>
      <w:r>
        <w:rPr>
          <w:rFonts w:ascii="Times New Roman" w:hAnsi="Times New Roman"/>
          <w:b/>
          <w:color w:val="0F4761"/>
          <w:sz w:val="20"/>
        </w:rPr>
        <w:t>Indicadores clave:</w:t>
      </w:r>
    </w:p>
    <w:p>
      <w:pPr>
        <w:pStyle w:val="ListBullet"/>
      </w:pPr>
      <w:r>
        <w:rPr>
          <w:rFonts w:ascii="Times New Roman" w:hAnsi="Times New Roman"/>
          <w:sz w:val="20"/>
        </w:rPr>
        <w:t>BC = $2.872 MM COP (suma de BF + BE × 1,14)</w:t>
      </w:r>
    </w:p>
    <w:p>
      <w:pPr>
        <w:pStyle w:val="ListBullet"/>
      </w:pPr>
      <w:r>
        <w:rPr>
          <w:rFonts w:ascii="Times New Roman" w:hAnsi="Times New Roman"/>
          <w:sz w:val="20"/>
        </w:rPr>
        <w:t>Plan ≥ BC: cubre todas las brechas + cobertura + redistribución</w:t>
      </w:r>
    </w:p>
    <w:p>
      <w:pPr>
        <w:pStyle w:val="ListBullet"/>
      </w:pPr>
      <w:r>
        <w:rPr>
          <w:rFonts w:ascii="Times New Roman" w:hAnsi="Times New Roman"/>
          <w:sz w:val="20"/>
        </w:rPr>
        <w:t>Margen Plan vs. BC: 49% adicional (cobertura nueva matrícula)</w:t>
      </w:r>
    </w:p>
    <w:p>
      <w:pPr>
        <w:jc w:val="center"/>
      </w:pPr>
      <w:r>
        <w:rPr>
          <w:rFonts w:ascii="Times New Roman" w:hAnsi="Times New Roman"/>
          <w:b/>
          <w:color w:val="0F4761"/>
          <w:sz w:val="20"/>
        </w:rPr>
        <w:t>Figura 14. Brechas BF, BE y BC: contribución al Plan PMIE 2026.</w:t>
      </w:r>
    </w:p>
    <w:p>
      <w:pPr>
        <w:jc w:val="center"/>
      </w:pPr>
      <w:r>
        <w:drawing>
          <wp:inline xmlns:a="http://schemas.openxmlformats.org/drawingml/2006/main" xmlns:pic="http://schemas.openxmlformats.org/drawingml/2006/picture">
            <wp:extent cx="5400000" cy="2053988"/>
            <wp:docPr id="13" name="Picture 13"/>
            <wp:cNvGraphicFramePr>
              <a:graphicFrameLocks noChangeAspect="1"/>
            </wp:cNvGraphicFramePr>
            <a:graphic>
              <a:graphicData uri="http://schemas.openxmlformats.org/drawingml/2006/picture">
                <pic:pic>
                  <pic:nvPicPr>
                    <pic:cNvPr id="0" name="G14_brechas_donut.png"/>
                    <pic:cNvPicPr/>
                  </pic:nvPicPr>
                  <pic:blipFill>
                    <a:blip r:embed="rId21"/>
                    <a:stretch>
                      <a:fillRect/>
                    </a:stretch>
                  </pic:blipFill>
                  <pic:spPr>
                    <a:xfrm>
                      <a:off x="0" y="0"/>
                      <a:ext cx="5400000" cy="2053988"/>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Los tres anillos comparativos muestran qué porcentaje del valor del Plan representa cada brecha. La Brecha Funcional (BF, basada en NTC 4595) aporta el 48,6% del Plan, lo que significa que casi la mitad de la inversión se orienta a llevar las sedes existentes al cumplimiento del estándar funcional. La Brecha Estructural (BE, basada en NSR-10) aporta el 18,6%, concentrada en las 175 sedes con urgencia CRÍTICA o MUY ALTA. La Brecha Consolidada (BC = BF + BE × 1,14) suma el 67,2% del Plan; el restante 32,8% corresponde a la atención de demanda no cubierta (P6 cierre + redistribución, $1.800 MM) y a la cobertura de matrícula no oficial ($772 MM).</w:t>
      </w:r>
    </w:p>
    <w:p>
      <w:r>
        <w:rPr>
          <w:rFonts w:ascii="Times New Roman" w:hAnsi="Times New Roman"/>
          <w:b/>
          <w:color w:val="0F4761"/>
          <w:sz w:val="20"/>
        </w:rPr>
        <w:t>Indicadores clave:</w:t>
      </w:r>
    </w:p>
    <w:p>
      <w:pPr>
        <w:pStyle w:val="ListBullet"/>
      </w:pPr>
      <w:r>
        <w:rPr>
          <w:rFonts w:ascii="Times New Roman" w:hAnsi="Times New Roman"/>
          <w:sz w:val="20"/>
        </w:rPr>
        <w:t>BF = 48,6% del Plan ($2.076 MM)</w:t>
      </w:r>
    </w:p>
    <w:p>
      <w:pPr>
        <w:pStyle w:val="ListBullet"/>
      </w:pPr>
      <w:r>
        <w:rPr>
          <w:rFonts w:ascii="Times New Roman" w:hAnsi="Times New Roman"/>
          <w:sz w:val="20"/>
        </w:rPr>
        <w:t>BE = 18,6% del Plan ($796 MM)</w:t>
      </w:r>
    </w:p>
    <w:p>
      <w:pPr>
        <w:pStyle w:val="ListBullet"/>
      </w:pPr>
      <w:r>
        <w:rPr>
          <w:rFonts w:ascii="Times New Roman" w:hAnsi="Times New Roman"/>
          <w:sz w:val="20"/>
        </w:rPr>
        <w:t>BC = 67,2% del Plan ($2.872 MM)</w:t>
      </w:r>
    </w:p>
    <w:p>
      <w:pPr>
        <w:pStyle w:val="Heading1"/>
      </w:pPr>
      <w:r>
        <w:t>6. Retos identificados</w:t>
      </w:r>
    </w:p>
    <w:p>
      <w:pPr>
        <w:jc w:val="both"/>
      </w:pPr>
      <w:r>
        <w:rPr>
          <w:rFonts w:ascii="Times New Roman" w:hAnsi="Times New Roman"/>
          <w:b w:val="0"/>
          <w:i w:val="0"/>
          <w:color w:val="000000"/>
          <w:sz w:val="22"/>
        </w:rPr>
        <w:t>La síntesis del diagnóstico permite identificar seis retos centrales que orientan la formulación de las apuestas estratégicas del Plan. Estos retos articulan las dimensiones estructural, funcional, de capacidad y de eficiencia con criterios de equidad territorial y sostenibilidad fiscal.</w:t>
      </w:r>
    </w:p>
    <w:p>
      <w:pPr>
        <w:pStyle w:val="ListBullet"/>
        <w:ind w:left="283"/>
      </w:pPr>
      <w:r>
        <w:rPr>
          <w:rFonts w:ascii="Times New Roman" w:hAnsi="Times New Roman"/>
          <w:sz w:val="22"/>
        </w:rPr>
        <w:t>RETO 1 — Seguridad estructural: el 55,4% del parque escolar (175 sedes) presenta riesgo sísmico CRÍTICO o MUY ALTO. La intervención prioritaria del Programa P2 y la reconstrucción del Programa P8 atienden esta urgencia.</w:t>
      </w:r>
    </w:p>
    <w:p>
      <w:pPr>
        <w:pStyle w:val="ListBullet"/>
        <w:ind w:left="283"/>
      </w:pPr>
      <w:r>
        <w:rPr>
          <w:rFonts w:ascii="Times New Roman" w:hAnsi="Times New Roman"/>
          <w:sz w:val="22"/>
        </w:rPr>
        <w:t>RETO 2 — Suficiencia de área: el déficit de 500.401 m² construidos requiere ampliaciones del Programa P4 en sedes con POT disponible y construcción nueva del Programa P1 en sedes sin alternativa predial.</w:t>
      </w:r>
    </w:p>
    <w:p>
      <w:pPr>
        <w:pStyle w:val="ListBullet"/>
        <w:ind w:left="283"/>
      </w:pPr>
      <w:r>
        <w:rPr>
          <w:rFonts w:ascii="Times New Roman" w:hAnsi="Times New Roman"/>
          <w:sz w:val="22"/>
        </w:rPr>
        <w:t>RETO 3 — Calidad de espacios: el 50,3% de las sedes presentan índice NTC 4595 inferior a 0,70; el Programa P3 (Adecuación) interviene 192 sedes con factor de costo proporcional a la calificación de calidad.</w:t>
      </w:r>
    </w:p>
    <w:p>
      <w:pPr>
        <w:pStyle w:val="ListBullet"/>
        <w:ind w:left="283"/>
      </w:pPr>
      <w:r>
        <w:rPr>
          <w:rFonts w:ascii="Times New Roman" w:hAnsi="Times New Roman"/>
          <w:sz w:val="22"/>
        </w:rPr>
        <w:t>RETO 4 — Cobertura no oficial: 19.785 estudiantes (proyectables a más de 42.000 con matrícula 2026) son atendidos en sedes privadas por falta de oferta pública. El Programa P1 incluye la construcción de nuevas sedes oficiales en las comunas receptoras.</w:t>
      </w:r>
    </w:p>
    <w:p>
      <w:pPr>
        <w:pStyle w:val="ListBullet"/>
        <w:ind w:left="283"/>
      </w:pPr>
      <w:r>
        <w:rPr>
          <w:rFonts w:ascii="Times New Roman" w:hAnsi="Times New Roman"/>
          <w:sz w:val="22"/>
        </w:rPr>
        <w:t>RETO 5 — Eficiencia de inversión: el 20% de las sedes (Q5) concentran inversión por estudiante superior a $20,5 millones COP — requieren evaluación específica entre reconstrucción y redistribución.</w:t>
      </w:r>
    </w:p>
    <w:p>
      <w:pPr>
        <w:pStyle w:val="ListBullet"/>
        <w:ind w:left="283"/>
      </w:pPr>
      <w:r>
        <w:rPr>
          <w:rFonts w:ascii="Times New Roman" w:hAnsi="Times New Roman"/>
          <w:sz w:val="22"/>
        </w:rPr>
        <w:t>RETO 6 — Sostenibilidad metodológica: el Plan debe poder actualizarse de manera trianual con datos SIMAT, brecha estructural y costos sin requerir reformulación. La Herramienta Consolidada habilita este ciclo.</w:t>
      </w:r>
    </w:p>
    <w:p>
      <w:r>
        <w:br w:type="page"/>
      </w:r>
    </w:p>
    <w:p>
      <w:pPr>
        <w:jc w:val="center"/>
      </w:pPr>
      <w:r>
        <w:rPr>
          <w:rFonts w:ascii="Times New Roman" w:hAnsi="Times New Roman"/>
          <w:b/>
          <w:color w:val="0F4761"/>
          <w:sz w:val="44"/>
        </w:rPr>
        <w:t>Parte IV</w:t>
      </w:r>
    </w:p>
    <w:p>
      <w:pPr>
        <w:jc w:val="center"/>
      </w:pPr>
      <w:r>
        <w:rPr>
          <w:rFonts w:ascii="Times New Roman" w:hAnsi="Times New Roman"/>
          <w:b/>
          <w:color w:val="0F4761"/>
          <w:sz w:val="32"/>
        </w:rPr>
        <w:t>Apuestas Estratégicas y Plan Indicativo</w:t>
      </w:r>
    </w:p>
    <w:p/>
    <w:p>
      <w:pPr>
        <w:pStyle w:val="Heading1"/>
      </w:pPr>
      <w:r>
        <w:t>7. Estrategia de Intervención — Árbol de Decisión</w:t>
      </w:r>
    </w:p>
    <w:p>
      <w:pPr>
        <w:pStyle w:val="Heading2"/>
      </w:pPr>
      <w:r>
        <w:t>7.1 Principios de priorización</w:t>
      </w:r>
    </w:p>
    <w:p>
      <w:pPr>
        <w:jc w:val="both"/>
      </w:pPr>
      <w:r>
        <w:rPr>
          <w:rFonts w:ascii="Times New Roman" w:hAnsi="Times New Roman"/>
          <w:b w:val="0"/>
          <w:i/>
          <w:color w:val="0F4761"/>
          <w:sz w:val="20"/>
        </w:rPr>
        <w:t>Tabla 16. Principios de priorización y criterios técnicos del PMIE 2026.</w:t>
      </w:r>
    </w:p>
    <w:tbl>
      <w:tblPr>
        <w:tblStyle w:val="LightGrid-Accent1"/>
        <w:tblW w:type="auto" w:w="0"/>
        <w:tblLook w:firstColumn="1" w:firstRow="1" w:lastColumn="0" w:lastRow="0" w:noHBand="0" w:noVBand="1" w:val="04A0"/>
      </w:tblPr>
      <w:tblGrid>
        <w:gridCol w:w="3041"/>
        <w:gridCol w:w="3041"/>
        <w:gridCol w:w="3041"/>
      </w:tblGrid>
      <w:tr>
        <w:tc>
          <w:tcPr>
            <w:tcW w:type="dxa" w:w="2551"/>
            <w:shd w:val="clear" w:color="auto" w:fill="0F4761"/>
            <w:vAlign w:val="center"/>
          </w:tcPr>
          <w:p>
            <w:pPr>
              <w:jc w:val="center"/>
            </w:pPr>
            <w:r/>
            <w:r>
              <w:rPr>
                <w:rFonts w:ascii="Times New Roman" w:hAnsi="Times New Roman"/>
                <w:b/>
                <w:color w:val="FFFFFF"/>
                <w:sz w:val="20"/>
              </w:rPr>
              <w:t>Principio</w:t>
            </w:r>
          </w:p>
        </w:tc>
        <w:tc>
          <w:tcPr>
            <w:tcW w:type="dxa" w:w="3685"/>
            <w:shd w:val="clear" w:color="auto" w:fill="0F4761"/>
            <w:vAlign w:val="center"/>
          </w:tcPr>
          <w:p>
            <w:pPr>
              <w:jc w:val="center"/>
            </w:pPr>
            <w:r/>
            <w:r>
              <w:rPr>
                <w:rFonts w:ascii="Times New Roman" w:hAnsi="Times New Roman"/>
                <w:b/>
                <w:color w:val="FFFFFF"/>
                <w:sz w:val="20"/>
              </w:rPr>
              <w:t>Criterio técnico</w:t>
            </w:r>
          </w:p>
        </w:tc>
        <w:tc>
          <w:tcPr>
            <w:tcW w:type="dxa" w:w="3402"/>
            <w:shd w:val="clear" w:color="auto" w:fill="0F4761"/>
            <w:vAlign w:val="center"/>
          </w:tcPr>
          <w:p>
            <w:pPr>
              <w:jc w:val="center"/>
            </w:pPr>
            <w:r/>
            <w:r>
              <w:rPr>
                <w:rFonts w:ascii="Times New Roman" w:hAnsi="Times New Roman"/>
                <w:b/>
                <w:color w:val="FFFFFF"/>
                <w:sz w:val="20"/>
              </w:rPr>
              <w:t>Instrumento de medición</w:t>
            </w:r>
          </w:p>
        </w:tc>
      </w:tr>
      <w:tr>
        <w:tc>
          <w:tcPr>
            <w:tcW w:type="dxa" w:w="2551"/>
            <w:vAlign w:val="center"/>
          </w:tcPr>
          <w:p>
            <w:pPr>
              <w:jc w:val="left"/>
            </w:pPr>
            <w:r/>
            <w:r>
              <w:rPr>
                <w:rFonts w:ascii="Times New Roman" w:hAnsi="Times New Roman"/>
                <w:b w:val="0"/>
                <w:color w:val="000000"/>
                <w:sz w:val="20"/>
              </w:rPr>
              <w:t>Seguridad estructural</w:t>
            </w:r>
          </w:p>
        </w:tc>
        <w:tc>
          <w:tcPr>
            <w:tcW w:type="dxa" w:w="3685"/>
            <w:vAlign w:val="center"/>
          </w:tcPr>
          <w:p>
            <w:pPr>
              <w:jc w:val="left"/>
            </w:pPr>
            <w:r/>
            <w:r>
              <w:rPr>
                <w:rFonts w:ascii="Times New Roman" w:hAnsi="Times New Roman"/>
                <w:b w:val="0"/>
                <w:color w:val="000000"/>
                <w:sz w:val="20"/>
              </w:rPr>
              <w:t>Cumplimiento NSR-10; protección de la vida.</w:t>
            </w:r>
          </w:p>
        </w:tc>
        <w:tc>
          <w:tcPr>
            <w:tcW w:type="dxa" w:w="3402"/>
            <w:vAlign w:val="center"/>
          </w:tcPr>
          <w:p>
            <w:pPr>
              <w:jc w:val="left"/>
            </w:pPr>
            <w:r/>
            <w:r>
              <w:rPr>
                <w:rFonts w:ascii="Times New Roman" w:hAnsi="Times New Roman"/>
                <w:b w:val="0"/>
                <w:color w:val="000000"/>
                <w:sz w:val="20"/>
              </w:rPr>
              <w:t>Ratio daño esperado / VR (%)</w:t>
            </w:r>
          </w:p>
        </w:tc>
      </w:tr>
      <w:tr>
        <w:tc>
          <w:tcPr>
            <w:tcW w:type="dxa" w:w="2551"/>
            <w:vAlign w:val="center"/>
          </w:tcPr>
          <w:p>
            <w:pPr>
              <w:jc w:val="left"/>
            </w:pPr>
            <w:r/>
            <w:r>
              <w:rPr>
                <w:rFonts w:ascii="Times New Roman" w:hAnsi="Times New Roman"/>
                <w:b w:val="0"/>
                <w:color w:val="000000"/>
                <w:sz w:val="20"/>
              </w:rPr>
              <w:t>Equidad territorial</w:t>
            </w:r>
          </w:p>
        </w:tc>
        <w:tc>
          <w:tcPr>
            <w:tcW w:type="dxa" w:w="3685"/>
            <w:vAlign w:val="center"/>
          </w:tcPr>
          <w:p>
            <w:pPr>
              <w:jc w:val="left"/>
            </w:pPr>
            <w:r/>
            <w:r>
              <w:rPr>
                <w:rFonts w:ascii="Times New Roman" w:hAnsi="Times New Roman"/>
                <w:b w:val="0"/>
                <w:color w:val="000000"/>
                <w:sz w:val="20"/>
              </w:rPr>
              <w:t>Priorizar comunas con mayor déficit y vulnerabilidad.</w:t>
            </w:r>
          </w:p>
        </w:tc>
        <w:tc>
          <w:tcPr>
            <w:tcW w:type="dxa" w:w="3402"/>
            <w:vAlign w:val="center"/>
          </w:tcPr>
          <w:p>
            <w:pPr>
              <w:jc w:val="left"/>
            </w:pPr>
            <w:r/>
            <w:r>
              <w:rPr>
                <w:rFonts w:ascii="Times New Roman" w:hAnsi="Times New Roman"/>
                <w:b w:val="0"/>
                <w:color w:val="000000"/>
                <w:sz w:val="20"/>
              </w:rPr>
              <w:t>Índice NTC 4595 + quintil + densidad</w:t>
            </w:r>
          </w:p>
        </w:tc>
      </w:tr>
      <w:tr>
        <w:tc>
          <w:tcPr>
            <w:tcW w:type="dxa" w:w="2551"/>
            <w:vAlign w:val="center"/>
          </w:tcPr>
          <w:p>
            <w:pPr>
              <w:jc w:val="left"/>
            </w:pPr>
            <w:r/>
            <w:r>
              <w:rPr>
                <w:rFonts w:ascii="Times New Roman" w:hAnsi="Times New Roman"/>
                <w:b w:val="0"/>
                <w:color w:val="000000"/>
                <w:sz w:val="20"/>
              </w:rPr>
              <w:t>Eficiencia de inversión</w:t>
            </w:r>
          </w:p>
        </w:tc>
        <w:tc>
          <w:tcPr>
            <w:tcW w:type="dxa" w:w="3685"/>
            <w:vAlign w:val="center"/>
          </w:tcPr>
          <w:p>
            <w:pPr>
              <w:jc w:val="left"/>
            </w:pPr>
            <w:r/>
            <w:r>
              <w:rPr>
                <w:rFonts w:ascii="Times New Roman" w:hAnsi="Times New Roman"/>
                <w:b w:val="0"/>
                <w:color w:val="000000"/>
                <w:sz w:val="20"/>
              </w:rPr>
              <w:t>Maximizar impacto por peso invertido.</w:t>
            </w:r>
          </w:p>
        </w:tc>
        <w:tc>
          <w:tcPr>
            <w:tcW w:type="dxa" w:w="3402"/>
            <w:vAlign w:val="center"/>
          </w:tcPr>
          <w:p>
            <w:pPr>
              <w:jc w:val="left"/>
            </w:pPr>
            <w:r/>
            <w:r>
              <w:rPr>
                <w:rFonts w:ascii="Times New Roman" w:hAnsi="Times New Roman"/>
                <w:b w:val="0"/>
                <w:color w:val="000000"/>
                <w:sz w:val="20"/>
              </w:rPr>
              <w:t>Costo bruto por estudiante · Quintiles Q1–Q5</w:t>
            </w:r>
          </w:p>
        </w:tc>
      </w:tr>
      <w:tr>
        <w:tc>
          <w:tcPr>
            <w:tcW w:type="dxa" w:w="2551"/>
            <w:vAlign w:val="center"/>
          </w:tcPr>
          <w:p>
            <w:pPr>
              <w:jc w:val="left"/>
            </w:pPr>
            <w:r/>
            <w:r>
              <w:rPr>
                <w:rFonts w:ascii="Times New Roman" w:hAnsi="Times New Roman"/>
                <w:b w:val="0"/>
                <w:color w:val="000000"/>
                <w:sz w:val="20"/>
              </w:rPr>
              <w:t>Continuidad del servicio</w:t>
            </w:r>
          </w:p>
        </w:tc>
        <w:tc>
          <w:tcPr>
            <w:tcW w:type="dxa" w:w="3685"/>
            <w:vAlign w:val="center"/>
          </w:tcPr>
          <w:p>
            <w:pPr>
              <w:jc w:val="left"/>
            </w:pPr>
            <w:r/>
            <w:r>
              <w:rPr>
                <w:rFonts w:ascii="Times New Roman" w:hAnsi="Times New Roman"/>
                <w:b w:val="0"/>
                <w:color w:val="000000"/>
                <w:sz w:val="20"/>
              </w:rPr>
              <w:t>Garantizar operación durante intervenciones.</w:t>
            </w:r>
          </w:p>
        </w:tc>
        <w:tc>
          <w:tcPr>
            <w:tcW w:type="dxa" w:w="3402"/>
            <w:vAlign w:val="center"/>
          </w:tcPr>
          <w:p>
            <w:pPr>
              <w:jc w:val="left"/>
            </w:pPr>
            <w:r/>
            <w:r>
              <w:rPr>
                <w:rFonts w:ascii="Times New Roman" w:hAnsi="Times New Roman"/>
                <w:b w:val="0"/>
                <w:color w:val="000000"/>
                <w:sz w:val="20"/>
              </w:rPr>
              <w:t>Módulos Educativos Prefabricados (MEP)</w:t>
            </w:r>
          </w:p>
        </w:tc>
      </w:tr>
    </w:tbl>
    <w:p>
      <w:pPr>
        <w:pStyle w:val="Heading2"/>
      </w:pPr>
      <w:r>
        <w:t>7.2 Árbol de decisión técnico — 11 nodos oficiales</w:t>
      </w:r>
    </w:p>
    <w:p>
      <w:pPr>
        <w:jc w:val="both"/>
      </w:pPr>
      <w:r>
        <w:rPr>
          <w:rFonts w:ascii="Times New Roman" w:hAnsi="Times New Roman"/>
          <w:b w:val="0"/>
          <w:i w:val="0"/>
          <w:color w:val="000000"/>
          <w:sz w:val="22"/>
        </w:rPr>
        <w:t>El árbol de decisión integra las dimensiones del diagnóstico en una lógica secuencial que conduce cada sede a uno o más programas de intervención. Una sede puede caer en múltiples programas simultáneamente: por ejemplo, una sede que llega al Nodo N3a con respuesta NO se evalúa en N4 (para la porción de ampliación) y en N5 (para la intervención estructural y/o de adecuación), pudiendo recibir asignaciones combinadas como P5+P3, P1+P3 o P5+P2+P3.</w:t>
      </w:r>
    </w:p>
    <w:p>
      <w:pPr>
        <w:jc w:val="both"/>
      </w:pPr>
      <w:r>
        <w:rPr>
          <w:rFonts w:ascii="Times New Roman" w:hAnsi="Times New Roman"/>
          <w:b w:val="0"/>
          <w:i/>
          <w:color w:val="0F4761"/>
          <w:sz w:val="20"/>
        </w:rPr>
        <w:t>Tabla 17. Árbol de decisión oficial PMIE 2026 — 11 nodos con rutas SÍ/NO.</w:t>
      </w:r>
    </w:p>
    <w:tbl>
      <w:tblPr>
        <w:tblStyle w:val="LightGrid-Accent1"/>
        <w:tblW w:type="auto" w:w="0"/>
        <w:tblLook w:firstColumn="1" w:firstRow="1" w:lastColumn="0" w:lastRow="0" w:noHBand="0" w:noVBand="1" w:val="04A0"/>
      </w:tblPr>
      <w:tblGrid>
        <w:gridCol w:w="2280"/>
        <w:gridCol w:w="2280"/>
        <w:gridCol w:w="2280"/>
        <w:gridCol w:w="2280"/>
      </w:tblGrid>
      <w:tr>
        <w:tc>
          <w:tcPr>
            <w:tcW w:type="dxa" w:w="1020"/>
            <w:shd w:val="clear" w:color="auto" w:fill="0F4761"/>
            <w:vAlign w:val="center"/>
          </w:tcPr>
          <w:p>
            <w:pPr>
              <w:jc w:val="center"/>
            </w:pPr>
            <w:r/>
            <w:r>
              <w:rPr>
                <w:rFonts w:ascii="Times New Roman" w:hAnsi="Times New Roman"/>
                <w:b/>
                <w:color w:val="FFFFFF"/>
                <w:sz w:val="20"/>
              </w:rPr>
              <w:t>Nodo</w:t>
            </w:r>
          </w:p>
        </w:tc>
        <w:tc>
          <w:tcPr>
            <w:tcW w:type="dxa" w:w="4252"/>
            <w:shd w:val="clear" w:color="auto" w:fill="0F4761"/>
            <w:vAlign w:val="center"/>
          </w:tcPr>
          <w:p>
            <w:pPr>
              <w:jc w:val="center"/>
            </w:pPr>
            <w:r/>
            <w:r>
              <w:rPr>
                <w:rFonts w:ascii="Times New Roman" w:hAnsi="Times New Roman"/>
                <w:b/>
                <w:color w:val="FFFFFF"/>
                <w:sz w:val="20"/>
              </w:rPr>
              <w:t>Pregunta técnica</w:t>
            </w:r>
          </w:p>
        </w:tc>
        <w:tc>
          <w:tcPr>
            <w:tcW w:type="dxa" w:w="1984"/>
            <w:shd w:val="clear" w:color="auto" w:fill="0F4761"/>
            <w:vAlign w:val="center"/>
          </w:tcPr>
          <w:p>
            <w:pPr>
              <w:jc w:val="center"/>
            </w:pPr>
            <w:r/>
            <w:r>
              <w:rPr>
                <w:rFonts w:ascii="Times New Roman" w:hAnsi="Times New Roman"/>
                <w:b/>
                <w:color w:val="FFFFFF"/>
                <w:sz w:val="20"/>
              </w:rPr>
              <w:t>SÍ →</w:t>
            </w:r>
          </w:p>
        </w:tc>
        <w:tc>
          <w:tcPr>
            <w:tcW w:type="dxa" w:w="1984"/>
            <w:shd w:val="clear" w:color="auto" w:fill="0F4761"/>
            <w:vAlign w:val="center"/>
          </w:tcPr>
          <w:p>
            <w:pPr>
              <w:jc w:val="center"/>
            </w:pPr>
            <w:r/>
            <w:r>
              <w:rPr>
                <w:rFonts w:ascii="Times New Roman" w:hAnsi="Times New Roman"/>
                <w:b/>
                <w:color w:val="FFFFFF"/>
                <w:sz w:val="20"/>
              </w:rPr>
              <w:t>NO →</w:t>
            </w:r>
          </w:p>
        </w:tc>
      </w:tr>
      <w:tr>
        <w:tc>
          <w:tcPr>
            <w:tcW w:type="dxa" w:w="1020"/>
            <w:vAlign w:val="center"/>
          </w:tcPr>
          <w:p>
            <w:pPr>
              <w:jc w:val="left"/>
            </w:pPr>
            <w:r/>
            <w:r>
              <w:rPr>
                <w:rFonts w:ascii="Times New Roman" w:hAnsi="Times New Roman"/>
                <w:b w:val="0"/>
                <w:color w:val="000000"/>
                <w:sz w:val="20"/>
              </w:rPr>
              <w:t>N1</w:t>
            </w:r>
          </w:p>
        </w:tc>
        <w:tc>
          <w:tcPr>
            <w:tcW w:type="dxa" w:w="4252"/>
            <w:vAlign w:val="center"/>
          </w:tcPr>
          <w:p>
            <w:pPr>
              <w:jc w:val="left"/>
            </w:pPr>
            <w:r/>
            <w:r>
              <w:rPr>
                <w:rFonts w:ascii="Times New Roman" w:hAnsi="Times New Roman"/>
                <w:b w:val="0"/>
                <w:color w:val="000000"/>
                <w:sz w:val="20"/>
              </w:rPr>
              <w:t>¿Sede en Q1 o Q2 (Q-Corte configurable)?</w:t>
            </w:r>
          </w:p>
        </w:tc>
        <w:tc>
          <w:tcPr>
            <w:tcW w:type="dxa" w:w="1984"/>
            <w:vAlign w:val="center"/>
          </w:tcPr>
          <w:p>
            <w:pPr>
              <w:jc w:val="left"/>
            </w:pPr>
            <w:r/>
            <w:r>
              <w:rPr>
                <w:rFonts w:ascii="Times New Roman" w:hAnsi="Times New Roman"/>
                <w:b w:val="0"/>
                <w:color w:val="000000"/>
                <w:sz w:val="20"/>
              </w:rPr>
              <w:t>N1a</w:t>
            </w:r>
          </w:p>
        </w:tc>
        <w:tc>
          <w:tcPr>
            <w:tcW w:type="dxa" w:w="1984"/>
            <w:vAlign w:val="center"/>
          </w:tcPr>
          <w:p>
            <w:pPr>
              <w:jc w:val="left"/>
            </w:pPr>
            <w:r/>
            <w:r>
              <w:rPr>
                <w:rFonts w:ascii="Times New Roman" w:hAnsi="Times New Roman"/>
                <w:b w:val="0"/>
                <w:color w:val="000000"/>
                <w:sz w:val="20"/>
              </w:rPr>
              <w:t>N2</w:t>
            </w:r>
          </w:p>
        </w:tc>
      </w:tr>
      <w:tr>
        <w:tc>
          <w:tcPr>
            <w:tcW w:type="dxa" w:w="1020"/>
            <w:vAlign w:val="center"/>
          </w:tcPr>
          <w:p>
            <w:pPr>
              <w:jc w:val="left"/>
            </w:pPr>
            <w:r/>
            <w:r>
              <w:rPr>
                <w:rFonts w:ascii="Times New Roman" w:hAnsi="Times New Roman"/>
                <w:b w:val="0"/>
                <w:color w:val="000000"/>
                <w:sz w:val="20"/>
              </w:rPr>
              <w:t>N1a</w:t>
            </w:r>
          </w:p>
        </w:tc>
        <w:tc>
          <w:tcPr>
            <w:tcW w:type="dxa" w:w="4252"/>
            <w:vAlign w:val="center"/>
          </w:tcPr>
          <w:p>
            <w:pPr>
              <w:jc w:val="left"/>
            </w:pPr>
            <w:r/>
            <w:r>
              <w:rPr>
                <w:rFonts w:ascii="Times New Roman" w:hAnsi="Times New Roman"/>
                <w:b w:val="0"/>
                <w:color w:val="000000"/>
                <w:sz w:val="20"/>
              </w:rPr>
              <w:t>¿BC &gt; 70% × Valor de Reposición (recon dinámico)?</w:t>
            </w:r>
          </w:p>
        </w:tc>
        <w:tc>
          <w:tcPr>
            <w:tcW w:type="dxa" w:w="1984"/>
            <w:vAlign w:val="center"/>
          </w:tcPr>
          <w:p>
            <w:pPr>
              <w:jc w:val="left"/>
            </w:pPr>
            <w:r/>
            <w:r>
              <w:rPr>
                <w:rFonts w:ascii="Times New Roman" w:hAnsi="Times New Roman"/>
                <w:b w:val="0"/>
                <w:color w:val="000000"/>
                <w:sz w:val="20"/>
              </w:rPr>
              <w:t>N3b</w:t>
            </w:r>
          </w:p>
        </w:tc>
        <w:tc>
          <w:tcPr>
            <w:tcW w:type="dxa" w:w="1984"/>
            <w:vAlign w:val="center"/>
          </w:tcPr>
          <w:p>
            <w:pPr>
              <w:jc w:val="left"/>
            </w:pPr>
            <w:r/>
            <w:r>
              <w:rPr>
                <w:rFonts w:ascii="Times New Roman" w:hAnsi="Times New Roman"/>
                <w:b w:val="0"/>
                <w:color w:val="000000"/>
                <w:sz w:val="20"/>
              </w:rPr>
              <w:t>N3</w:t>
            </w:r>
          </w:p>
        </w:tc>
      </w:tr>
      <w:tr>
        <w:tc>
          <w:tcPr>
            <w:tcW w:type="dxa" w:w="1020"/>
            <w:vAlign w:val="center"/>
          </w:tcPr>
          <w:p>
            <w:pPr>
              <w:jc w:val="left"/>
            </w:pPr>
            <w:r/>
            <w:r>
              <w:rPr>
                <w:rFonts w:ascii="Times New Roman" w:hAnsi="Times New Roman"/>
                <w:b w:val="0"/>
                <w:color w:val="000000"/>
                <w:sz w:val="20"/>
              </w:rPr>
              <w:t>N2</w:t>
            </w:r>
          </w:p>
        </w:tc>
        <w:tc>
          <w:tcPr>
            <w:tcW w:type="dxa" w:w="4252"/>
            <w:vAlign w:val="center"/>
          </w:tcPr>
          <w:p>
            <w:pPr>
              <w:jc w:val="left"/>
            </w:pPr>
            <w:r/>
            <w:r>
              <w:rPr>
                <w:rFonts w:ascii="Times New Roman" w:hAnsi="Times New Roman"/>
                <w:b w:val="0"/>
                <w:color w:val="000000"/>
                <w:sz w:val="20"/>
              </w:rPr>
              <w:t>¿Sede rural?</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N2a</w:t>
            </w:r>
          </w:p>
        </w:tc>
      </w:tr>
      <w:tr>
        <w:tc>
          <w:tcPr>
            <w:tcW w:type="dxa" w:w="1020"/>
            <w:vAlign w:val="center"/>
          </w:tcPr>
          <w:p>
            <w:pPr>
              <w:jc w:val="left"/>
            </w:pPr>
            <w:r/>
            <w:r>
              <w:rPr>
                <w:rFonts w:ascii="Times New Roman" w:hAnsi="Times New Roman"/>
                <w:b w:val="0"/>
                <w:color w:val="000000"/>
                <w:sz w:val="20"/>
              </w:rPr>
              <w:t>N2a</w:t>
            </w:r>
          </w:p>
        </w:tc>
        <w:tc>
          <w:tcPr>
            <w:tcW w:type="dxa" w:w="4252"/>
            <w:vAlign w:val="center"/>
          </w:tcPr>
          <w:p>
            <w:pPr>
              <w:jc w:val="left"/>
            </w:pPr>
            <w:r/>
            <w:r>
              <w:rPr>
                <w:rFonts w:ascii="Times New Roman" w:hAnsi="Times New Roman"/>
                <w:b w:val="0"/>
                <w:color w:val="000000"/>
                <w:sz w:val="20"/>
              </w:rPr>
              <w:t>¿Sede principal o única en su comuna?</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N4a</w:t>
            </w:r>
          </w:p>
        </w:tc>
      </w:tr>
      <w:tr>
        <w:tc>
          <w:tcPr>
            <w:tcW w:type="dxa" w:w="1020"/>
            <w:vAlign w:val="center"/>
          </w:tcPr>
          <w:p>
            <w:pPr>
              <w:jc w:val="left"/>
            </w:pPr>
            <w:r/>
            <w:r>
              <w:rPr>
                <w:rFonts w:ascii="Times New Roman" w:hAnsi="Times New Roman"/>
                <w:b w:val="0"/>
                <w:color w:val="000000"/>
                <w:sz w:val="20"/>
              </w:rPr>
              <w:t>N3</w:t>
            </w:r>
          </w:p>
        </w:tc>
        <w:tc>
          <w:tcPr>
            <w:tcW w:type="dxa" w:w="4252"/>
            <w:vAlign w:val="center"/>
          </w:tcPr>
          <w:p>
            <w:pPr>
              <w:jc w:val="left"/>
            </w:pPr>
            <w:r/>
            <w:r>
              <w:rPr>
                <w:rFonts w:ascii="Times New Roman" w:hAnsi="Times New Roman"/>
                <w:b w:val="0"/>
                <w:color w:val="000000"/>
                <w:sz w:val="20"/>
              </w:rPr>
              <w:t>¿Requiere ampliación (déficit de área)?</w:t>
            </w:r>
          </w:p>
        </w:tc>
        <w:tc>
          <w:tcPr>
            <w:tcW w:type="dxa" w:w="1984"/>
            <w:vAlign w:val="center"/>
          </w:tcPr>
          <w:p>
            <w:pPr>
              <w:jc w:val="left"/>
            </w:pPr>
            <w:r/>
            <w:r>
              <w:rPr>
                <w:rFonts w:ascii="Times New Roman" w:hAnsi="Times New Roman"/>
                <w:b w:val="0"/>
                <w:color w:val="000000"/>
                <w:sz w:val="20"/>
              </w:rPr>
              <w:t>N3a</w:t>
            </w:r>
          </w:p>
        </w:tc>
        <w:tc>
          <w:tcPr>
            <w:tcW w:type="dxa" w:w="1984"/>
            <w:vAlign w:val="center"/>
          </w:tcPr>
          <w:p>
            <w:pPr>
              <w:jc w:val="left"/>
            </w:pPr>
            <w:r/>
            <w:r>
              <w:rPr>
                <w:rFonts w:ascii="Times New Roman" w:hAnsi="Times New Roman"/>
                <w:b w:val="0"/>
                <w:color w:val="000000"/>
                <w:sz w:val="20"/>
              </w:rPr>
              <w:t>N5</w:t>
            </w:r>
          </w:p>
        </w:tc>
      </w:tr>
      <w:tr>
        <w:tc>
          <w:tcPr>
            <w:tcW w:type="dxa" w:w="1020"/>
            <w:vAlign w:val="center"/>
          </w:tcPr>
          <w:p>
            <w:pPr>
              <w:jc w:val="left"/>
            </w:pPr>
            <w:r/>
            <w:r>
              <w:rPr>
                <w:rFonts w:ascii="Times New Roman" w:hAnsi="Times New Roman"/>
                <w:b w:val="0"/>
                <w:color w:val="000000"/>
                <w:sz w:val="20"/>
              </w:rPr>
              <w:t>N3a</w:t>
            </w:r>
          </w:p>
        </w:tc>
        <w:tc>
          <w:tcPr>
            <w:tcW w:type="dxa" w:w="4252"/>
            <w:vAlign w:val="center"/>
          </w:tcPr>
          <w:p>
            <w:pPr>
              <w:jc w:val="left"/>
            </w:pPr>
            <w:r/>
            <w:r>
              <w:rPr>
                <w:rFonts w:ascii="Times New Roman" w:hAnsi="Times New Roman"/>
                <w:b w:val="0"/>
                <w:color w:val="000000"/>
                <w:sz w:val="20"/>
              </w:rPr>
              <w:t>¿Tiene capacidad de ampliación en sitio propio (POT)?</w:t>
            </w:r>
          </w:p>
        </w:tc>
        <w:tc>
          <w:tcPr>
            <w:tcW w:type="dxa" w:w="1984"/>
            <w:vAlign w:val="center"/>
          </w:tcPr>
          <w:p>
            <w:pPr>
              <w:jc w:val="left"/>
            </w:pPr>
            <w:r/>
            <w:r>
              <w:rPr>
                <w:rFonts w:ascii="Times New Roman" w:hAnsi="Times New Roman"/>
                <w:b w:val="0"/>
                <w:color w:val="000000"/>
                <w:sz w:val="20"/>
              </w:rPr>
              <w:t>P4 + N5</w:t>
            </w:r>
          </w:p>
        </w:tc>
        <w:tc>
          <w:tcPr>
            <w:tcW w:type="dxa" w:w="1984"/>
            <w:vAlign w:val="center"/>
          </w:tcPr>
          <w:p>
            <w:pPr>
              <w:jc w:val="left"/>
            </w:pPr>
            <w:r/>
            <w:r>
              <w:rPr>
                <w:rFonts w:ascii="Times New Roman" w:hAnsi="Times New Roman"/>
                <w:b w:val="0"/>
                <w:color w:val="000000"/>
                <w:sz w:val="20"/>
              </w:rPr>
              <w:t>N4 + N5</w:t>
            </w:r>
          </w:p>
        </w:tc>
      </w:tr>
      <w:tr>
        <w:tc>
          <w:tcPr>
            <w:tcW w:type="dxa" w:w="1020"/>
            <w:vAlign w:val="center"/>
          </w:tcPr>
          <w:p>
            <w:pPr>
              <w:jc w:val="left"/>
            </w:pPr>
            <w:r/>
            <w:r>
              <w:rPr>
                <w:rFonts w:ascii="Times New Roman" w:hAnsi="Times New Roman"/>
                <w:b w:val="0"/>
                <w:color w:val="000000"/>
                <w:sz w:val="20"/>
              </w:rPr>
              <w:t>N3b</w:t>
            </w:r>
          </w:p>
        </w:tc>
        <w:tc>
          <w:tcPr>
            <w:tcW w:type="dxa" w:w="4252"/>
            <w:vAlign w:val="center"/>
          </w:tcPr>
          <w:p>
            <w:pPr>
              <w:jc w:val="left"/>
            </w:pPr>
            <w:r/>
            <w:r>
              <w:rPr>
                <w:rFonts w:ascii="Times New Roman" w:hAnsi="Times New Roman"/>
                <w:b w:val="0"/>
                <w:color w:val="000000"/>
                <w:sz w:val="20"/>
              </w:rPr>
              <w:t>¿Reconstrucción con misma área actual o menor?</w:t>
            </w:r>
          </w:p>
        </w:tc>
        <w:tc>
          <w:tcPr>
            <w:tcW w:type="dxa" w:w="1984"/>
            <w:vAlign w:val="center"/>
          </w:tcPr>
          <w:p>
            <w:pPr>
              <w:jc w:val="left"/>
            </w:pPr>
            <w:r/>
            <w:r>
              <w:rPr>
                <w:rFonts w:ascii="Times New Roman" w:hAnsi="Times New Roman"/>
                <w:b w:val="0"/>
                <w:color w:val="000000"/>
                <w:sz w:val="20"/>
              </w:rPr>
              <w:t>P4 + P3</w:t>
            </w:r>
          </w:p>
        </w:tc>
        <w:tc>
          <w:tcPr>
            <w:tcW w:type="dxa" w:w="1984"/>
            <w:vAlign w:val="center"/>
          </w:tcPr>
          <w:p>
            <w:pPr>
              <w:jc w:val="left"/>
            </w:pPr>
            <w:r/>
            <w:r>
              <w:rPr>
                <w:rFonts w:ascii="Times New Roman" w:hAnsi="Times New Roman"/>
                <w:b w:val="0"/>
                <w:color w:val="000000"/>
                <w:sz w:val="20"/>
              </w:rPr>
              <w:t>N4b</w:t>
            </w:r>
          </w:p>
        </w:tc>
      </w:tr>
      <w:tr>
        <w:tc>
          <w:tcPr>
            <w:tcW w:type="dxa" w:w="1020"/>
            <w:vAlign w:val="center"/>
          </w:tcPr>
          <w:p>
            <w:pPr>
              <w:jc w:val="left"/>
            </w:pPr>
            <w:r/>
            <w:r>
              <w:rPr>
                <w:rFonts w:ascii="Times New Roman" w:hAnsi="Times New Roman"/>
                <w:b w:val="0"/>
                <w:color w:val="000000"/>
                <w:sz w:val="20"/>
              </w:rPr>
              <w:t>N4</w:t>
            </w:r>
          </w:p>
        </w:tc>
        <w:tc>
          <w:tcPr>
            <w:tcW w:type="dxa" w:w="4252"/>
            <w:vAlign w:val="center"/>
          </w:tcPr>
          <w:p>
            <w:pPr>
              <w:jc w:val="left"/>
            </w:pPr>
            <w:r/>
            <w:r>
              <w:rPr>
                <w:rFonts w:ascii="Times New Roman" w:hAnsi="Times New Roman"/>
                <w:b w:val="0"/>
                <w:color w:val="000000"/>
                <w:sz w:val="20"/>
              </w:rPr>
              <w:t>¿Hay redistribución de matrícula posible en la comuna?</w:t>
            </w:r>
          </w:p>
        </w:tc>
        <w:tc>
          <w:tcPr>
            <w:tcW w:type="dxa" w:w="1984"/>
            <w:vAlign w:val="center"/>
          </w:tcPr>
          <w:p>
            <w:pPr>
              <w:jc w:val="left"/>
            </w:pPr>
            <w:r/>
            <w:r>
              <w:rPr>
                <w:rFonts w:ascii="Times New Roman" w:hAnsi="Times New Roman"/>
                <w:b w:val="0"/>
                <w:color w:val="000000"/>
                <w:sz w:val="20"/>
              </w:rPr>
              <w:t>P5</w:t>
            </w:r>
          </w:p>
        </w:tc>
        <w:tc>
          <w:tcPr>
            <w:tcW w:type="dxa" w:w="1984"/>
            <w:vAlign w:val="center"/>
          </w:tcPr>
          <w:p>
            <w:pPr>
              <w:jc w:val="left"/>
            </w:pPr>
            <w:r/>
            <w:r>
              <w:rPr>
                <w:rFonts w:ascii="Times New Roman" w:hAnsi="Times New Roman"/>
                <w:b w:val="0"/>
                <w:color w:val="000000"/>
                <w:sz w:val="20"/>
              </w:rPr>
              <w:t>P1</w:t>
            </w:r>
          </w:p>
        </w:tc>
      </w:tr>
      <w:tr>
        <w:tc>
          <w:tcPr>
            <w:tcW w:type="dxa" w:w="1020"/>
            <w:vAlign w:val="center"/>
          </w:tcPr>
          <w:p>
            <w:pPr>
              <w:jc w:val="left"/>
            </w:pPr>
            <w:r/>
            <w:r>
              <w:rPr>
                <w:rFonts w:ascii="Times New Roman" w:hAnsi="Times New Roman"/>
                <w:b w:val="0"/>
                <w:color w:val="000000"/>
                <w:sz w:val="20"/>
              </w:rPr>
              <w:t>N4a</w:t>
            </w:r>
          </w:p>
        </w:tc>
        <w:tc>
          <w:tcPr>
            <w:tcW w:type="dxa" w:w="4252"/>
            <w:vAlign w:val="center"/>
          </w:tcPr>
          <w:p>
            <w:pPr>
              <w:jc w:val="left"/>
            </w:pPr>
            <w:r/>
            <w:r>
              <w:rPr>
                <w:rFonts w:ascii="Times New Roman" w:hAnsi="Times New Roman"/>
                <w:b w:val="0"/>
                <w:color w:val="000000"/>
                <w:sz w:val="20"/>
              </w:rPr>
              <w:t>¿Hay redistribución posible (≥ MinQ12 sedes Q1-Q2)?</w:t>
            </w:r>
          </w:p>
        </w:tc>
        <w:tc>
          <w:tcPr>
            <w:tcW w:type="dxa" w:w="1984"/>
            <w:vAlign w:val="center"/>
          </w:tcPr>
          <w:p>
            <w:pPr>
              <w:jc w:val="left"/>
            </w:pPr>
            <w:r/>
            <w:r>
              <w:rPr>
                <w:rFonts w:ascii="Times New Roman" w:hAnsi="Times New Roman"/>
                <w:b w:val="0"/>
                <w:color w:val="000000"/>
                <w:sz w:val="20"/>
              </w:rPr>
              <w:t>P6 (cierre)</w:t>
            </w:r>
          </w:p>
        </w:tc>
        <w:tc>
          <w:tcPr>
            <w:tcW w:type="dxa" w:w="1984"/>
            <w:vAlign w:val="center"/>
          </w:tcPr>
          <w:p>
            <w:pPr>
              <w:jc w:val="left"/>
            </w:pPr>
            <w:r/>
            <w:r>
              <w:rPr>
                <w:rFonts w:ascii="Times New Roman" w:hAnsi="Times New Roman"/>
                <w:b w:val="0"/>
                <w:color w:val="000000"/>
                <w:sz w:val="20"/>
              </w:rPr>
              <w:t>P7</w:t>
            </w:r>
          </w:p>
        </w:tc>
      </w:tr>
      <w:tr>
        <w:tc>
          <w:tcPr>
            <w:tcW w:type="dxa" w:w="1020"/>
            <w:vAlign w:val="center"/>
          </w:tcPr>
          <w:p>
            <w:pPr>
              <w:jc w:val="left"/>
            </w:pPr>
            <w:r/>
            <w:r>
              <w:rPr>
                <w:rFonts w:ascii="Times New Roman" w:hAnsi="Times New Roman"/>
                <w:b w:val="0"/>
                <w:color w:val="000000"/>
                <w:sz w:val="20"/>
              </w:rPr>
              <w:t>N4b</w:t>
            </w:r>
          </w:p>
        </w:tc>
        <w:tc>
          <w:tcPr>
            <w:tcW w:type="dxa" w:w="4252"/>
            <w:vAlign w:val="center"/>
          </w:tcPr>
          <w:p>
            <w:pPr>
              <w:jc w:val="left"/>
            </w:pPr>
            <w:r/>
            <w:r>
              <w:rPr>
                <w:rFonts w:ascii="Times New Roman" w:hAnsi="Times New Roman"/>
                <w:b w:val="0"/>
                <w:color w:val="000000"/>
                <w:sz w:val="20"/>
              </w:rPr>
              <w:t>¿Hay redistribución para sede de alta brecha?</w:t>
            </w:r>
          </w:p>
        </w:tc>
        <w:tc>
          <w:tcPr>
            <w:tcW w:type="dxa" w:w="1984"/>
            <w:vAlign w:val="center"/>
          </w:tcPr>
          <w:p>
            <w:pPr>
              <w:jc w:val="left"/>
            </w:pPr>
            <w:r/>
            <w:r>
              <w:rPr>
                <w:rFonts w:ascii="Times New Roman" w:hAnsi="Times New Roman"/>
                <w:b w:val="0"/>
                <w:color w:val="000000"/>
                <w:sz w:val="20"/>
              </w:rPr>
              <w:t>P5 + P8</w:t>
            </w:r>
          </w:p>
        </w:tc>
        <w:tc>
          <w:tcPr>
            <w:tcW w:type="dxa" w:w="1984"/>
            <w:vAlign w:val="center"/>
          </w:tcPr>
          <w:p>
            <w:pPr>
              <w:jc w:val="left"/>
            </w:pPr>
            <w:r/>
            <w:r>
              <w:rPr>
                <w:rFonts w:ascii="Times New Roman" w:hAnsi="Times New Roman"/>
                <w:b w:val="0"/>
                <w:color w:val="000000"/>
                <w:sz w:val="20"/>
              </w:rPr>
              <w:t>P5 + P1</w:t>
            </w:r>
          </w:p>
        </w:tc>
      </w:tr>
      <w:tr>
        <w:tc>
          <w:tcPr>
            <w:tcW w:type="dxa" w:w="1020"/>
            <w:vAlign w:val="center"/>
          </w:tcPr>
          <w:p>
            <w:pPr>
              <w:jc w:val="left"/>
            </w:pPr>
            <w:r/>
            <w:r>
              <w:rPr>
                <w:rFonts w:ascii="Times New Roman" w:hAnsi="Times New Roman"/>
                <w:b w:val="0"/>
                <w:color w:val="000000"/>
                <w:sz w:val="20"/>
              </w:rPr>
              <w:t>N5</w:t>
            </w:r>
          </w:p>
        </w:tc>
        <w:tc>
          <w:tcPr>
            <w:tcW w:type="dxa" w:w="4252"/>
            <w:vAlign w:val="center"/>
          </w:tcPr>
          <w:p>
            <w:pPr>
              <w:jc w:val="left"/>
            </w:pPr>
            <w:r/>
            <w:r>
              <w:rPr>
                <w:rFonts w:ascii="Times New Roman" w:hAnsi="Times New Roman"/>
                <w:b w:val="0"/>
                <w:color w:val="000000"/>
                <w:sz w:val="20"/>
              </w:rPr>
              <w:t>¿Intervención por Riesgo Estructural (CRÍTICA o MUY ALTA)?</w:t>
            </w:r>
          </w:p>
        </w:tc>
        <w:tc>
          <w:tcPr>
            <w:tcW w:type="dxa" w:w="1984"/>
            <w:vAlign w:val="center"/>
          </w:tcPr>
          <w:p>
            <w:pPr>
              <w:jc w:val="left"/>
            </w:pPr>
            <w:r/>
            <w:r>
              <w:rPr>
                <w:rFonts w:ascii="Times New Roman" w:hAnsi="Times New Roman"/>
                <w:b w:val="0"/>
                <w:color w:val="000000"/>
                <w:sz w:val="20"/>
              </w:rPr>
              <w:t>P2 + P3</w:t>
            </w:r>
          </w:p>
        </w:tc>
        <w:tc>
          <w:tcPr>
            <w:tcW w:type="dxa" w:w="1984"/>
            <w:vAlign w:val="center"/>
          </w:tcPr>
          <w:p>
            <w:pPr>
              <w:jc w:val="left"/>
            </w:pPr>
            <w:r/>
            <w:r>
              <w:rPr>
                <w:rFonts w:ascii="Times New Roman" w:hAnsi="Times New Roman"/>
                <w:b w:val="0"/>
                <w:color w:val="000000"/>
                <w:sz w:val="20"/>
              </w:rPr>
              <w:t>P3 (BE absorbida)</w:t>
            </w:r>
          </w:p>
        </w:tc>
      </w:tr>
    </w:tbl>
    <w:p>
      <w:pPr>
        <w:jc w:val="both"/>
      </w:pPr>
      <w:r>
        <w:rPr>
          <w:rFonts w:ascii="Times New Roman" w:hAnsi="Times New Roman"/>
          <w:b w:val="0"/>
          <w:i/>
          <w:color w:val="747474"/>
          <w:sz w:val="18"/>
        </w:rPr>
        <w:t>Fuente: Documento oficial «Árbol de decisión PMIE 2026» — Subsecretaría de Planeación Sectorial. Implementado en la Herramienta Consolidada — módulo H4. El umbral del Nodo N1a (por defecto 70%) y el Q-Corte (por defecto Q2) son configurables en tiempo real.</w:t>
      </w:r>
    </w:p>
    <w:p>
      <w:pPr>
        <w:pStyle w:val="Heading2"/>
      </w:pPr>
      <w:r>
        <w:t>7.3 Parámetros configurables</w:t>
      </w:r>
    </w:p>
    <w:p>
      <w:pPr>
        <w:jc w:val="both"/>
      </w:pPr>
      <w:r>
        <w:rPr>
          <w:rFonts w:ascii="Times New Roman" w:hAnsi="Times New Roman"/>
          <w:b w:val="0"/>
          <w:i/>
          <w:color w:val="0F4761"/>
          <w:sz w:val="20"/>
        </w:rPr>
        <w:t>Tabla 18. Parámetros configurables del árbol de decisión.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1984"/>
            <w:shd w:val="clear" w:color="auto" w:fill="0F4761"/>
            <w:vAlign w:val="center"/>
          </w:tcPr>
          <w:p>
            <w:pPr>
              <w:jc w:val="center"/>
            </w:pPr>
            <w:r/>
            <w:r>
              <w:rPr>
                <w:rFonts w:ascii="Times New Roman" w:hAnsi="Times New Roman"/>
                <w:b/>
                <w:color w:val="FFFFFF"/>
                <w:sz w:val="20"/>
              </w:rPr>
              <w:t>Parámetro</w:t>
            </w:r>
          </w:p>
        </w:tc>
        <w:tc>
          <w:tcPr>
            <w:tcW w:type="dxa" w:w="4535"/>
            <w:shd w:val="clear" w:color="auto" w:fill="0F4761"/>
            <w:vAlign w:val="center"/>
          </w:tcPr>
          <w:p>
            <w:pPr>
              <w:jc w:val="center"/>
            </w:pPr>
            <w:r/>
            <w:r>
              <w:rPr>
                <w:rFonts w:ascii="Times New Roman" w:hAnsi="Times New Roman"/>
                <w:b/>
                <w:color w:val="FFFFFF"/>
                <w:sz w:val="20"/>
              </w:rPr>
              <w:t>Descripción</w:t>
            </w:r>
          </w:p>
        </w:tc>
        <w:tc>
          <w:tcPr>
            <w:tcW w:type="dxa" w:w="1134"/>
            <w:shd w:val="clear" w:color="auto" w:fill="0F4761"/>
            <w:vAlign w:val="center"/>
          </w:tcPr>
          <w:p>
            <w:pPr>
              <w:jc w:val="center"/>
            </w:pPr>
            <w:r/>
            <w:r>
              <w:rPr>
                <w:rFonts w:ascii="Times New Roman" w:hAnsi="Times New Roman"/>
                <w:b/>
                <w:color w:val="FFFFFF"/>
                <w:sz w:val="20"/>
              </w:rPr>
              <w:t>Default</w:t>
            </w:r>
          </w:p>
        </w:tc>
        <w:tc>
          <w:tcPr>
            <w:tcW w:type="dxa" w:w="1701"/>
            <w:shd w:val="clear" w:color="auto" w:fill="0F4761"/>
            <w:vAlign w:val="center"/>
          </w:tcPr>
          <w:p>
            <w:pPr>
              <w:jc w:val="center"/>
            </w:pPr>
            <w:r/>
            <w:r>
              <w:rPr>
                <w:rFonts w:ascii="Times New Roman" w:hAnsi="Times New Roman"/>
                <w:b/>
                <w:color w:val="FFFFFF"/>
                <w:sz w:val="20"/>
              </w:rPr>
              <w:t>Rango sugerido</w:t>
            </w:r>
          </w:p>
        </w:tc>
      </w:tr>
      <w:tr>
        <w:tc>
          <w:tcPr>
            <w:tcW w:type="dxa" w:w="1984"/>
            <w:vAlign w:val="center"/>
          </w:tcPr>
          <w:p>
            <w:pPr>
              <w:jc w:val="left"/>
            </w:pPr>
            <w:r/>
            <w:r>
              <w:rPr>
                <w:rFonts w:ascii="Times New Roman" w:hAnsi="Times New Roman"/>
                <w:b w:val="0"/>
                <w:color w:val="000000"/>
                <w:sz w:val="20"/>
              </w:rPr>
              <w:t>Q-Corte</w:t>
            </w:r>
          </w:p>
        </w:tc>
        <w:tc>
          <w:tcPr>
            <w:tcW w:type="dxa" w:w="4535"/>
            <w:vAlign w:val="center"/>
          </w:tcPr>
          <w:p>
            <w:pPr>
              <w:jc w:val="left"/>
            </w:pPr>
            <w:r/>
            <w:r>
              <w:rPr>
                <w:rFonts w:ascii="Times New Roman" w:hAnsi="Times New Roman"/>
                <w:b w:val="0"/>
                <w:color w:val="000000"/>
                <w:sz w:val="20"/>
              </w:rPr>
              <w:t>Quintil límite para clasificar sedes como eficientes.</w:t>
            </w:r>
          </w:p>
        </w:tc>
        <w:tc>
          <w:tcPr>
            <w:tcW w:type="dxa" w:w="1134"/>
            <w:vAlign w:val="center"/>
          </w:tcPr>
          <w:p>
            <w:pPr>
              <w:jc w:val="left"/>
            </w:pPr>
            <w:r/>
            <w:r>
              <w:rPr>
                <w:rFonts w:ascii="Times New Roman" w:hAnsi="Times New Roman"/>
                <w:b w:val="0"/>
                <w:color w:val="000000"/>
                <w:sz w:val="20"/>
              </w:rPr>
              <w:t>Q2</w:t>
            </w:r>
          </w:p>
        </w:tc>
        <w:tc>
          <w:tcPr>
            <w:tcW w:type="dxa" w:w="1701"/>
            <w:vAlign w:val="center"/>
          </w:tcPr>
          <w:p>
            <w:pPr>
              <w:jc w:val="left"/>
            </w:pPr>
            <w:r/>
            <w:r>
              <w:rPr>
                <w:rFonts w:ascii="Times New Roman" w:hAnsi="Times New Roman"/>
                <w:b w:val="0"/>
                <w:color w:val="000000"/>
                <w:sz w:val="20"/>
              </w:rPr>
              <w:t>Q1 – Q3</w:t>
            </w:r>
          </w:p>
        </w:tc>
      </w:tr>
      <w:tr>
        <w:tc>
          <w:tcPr>
            <w:tcW w:type="dxa" w:w="1984"/>
            <w:vAlign w:val="center"/>
          </w:tcPr>
          <w:p>
            <w:pPr>
              <w:jc w:val="left"/>
            </w:pPr>
            <w:r/>
            <w:r>
              <w:rPr>
                <w:rFonts w:ascii="Times New Roman" w:hAnsi="Times New Roman"/>
                <w:b w:val="0"/>
                <w:color w:val="000000"/>
                <w:sz w:val="20"/>
              </w:rPr>
              <w:t>Umbral BC/VR</w:t>
            </w:r>
          </w:p>
        </w:tc>
        <w:tc>
          <w:tcPr>
            <w:tcW w:type="dxa" w:w="4535"/>
            <w:vAlign w:val="center"/>
          </w:tcPr>
          <w:p>
            <w:pPr>
              <w:jc w:val="left"/>
            </w:pPr>
            <w:r/>
            <w:r>
              <w:rPr>
                <w:rFonts w:ascii="Times New Roman" w:hAnsi="Times New Roman"/>
                <w:b w:val="0"/>
                <w:color w:val="000000"/>
                <w:sz w:val="20"/>
              </w:rPr>
              <w:t>% de BC sobre VR que activa reposición (N1a).</w:t>
            </w:r>
          </w:p>
        </w:tc>
        <w:tc>
          <w:tcPr>
            <w:tcW w:type="dxa" w:w="1134"/>
            <w:vAlign w:val="center"/>
          </w:tcPr>
          <w:p>
            <w:pPr>
              <w:jc w:val="right"/>
            </w:pPr>
            <w:r/>
            <w:r>
              <w:rPr>
                <w:rFonts w:ascii="Times New Roman" w:hAnsi="Times New Roman"/>
                <w:b w:val="0"/>
                <w:color w:val="000000"/>
                <w:sz w:val="20"/>
              </w:rPr>
              <w:t>70%</w:t>
            </w:r>
          </w:p>
        </w:tc>
        <w:tc>
          <w:tcPr>
            <w:tcW w:type="dxa" w:w="1701"/>
            <w:vAlign w:val="center"/>
          </w:tcPr>
          <w:p>
            <w:pPr>
              <w:jc w:val="left"/>
            </w:pPr>
            <w:r/>
            <w:r>
              <w:rPr>
                <w:rFonts w:ascii="Times New Roman" w:hAnsi="Times New Roman"/>
                <w:b w:val="0"/>
                <w:color w:val="000000"/>
                <w:sz w:val="20"/>
              </w:rPr>
              <w:t>50% – 90%</w:t>
            </w:r>
          </w:p>
        </w:tc>
      </w:tr>
      <w:tr>
        <w:tc>
          <w:tcPr>
            <w:tcW w:type="dxa" w:w="1984"/>
            <w:vAlign w:val="center"/>
          </w:tcPr>
          <w:p>
            <w:pPr>
              <w:jc w:val="left"/>
            </w:pPr>
            <w:r/>
            <w:r>
              <w:rPr>
                <w:rFonts w:ascii="Times New Roman" w:hAnsi="Times New Roman"/>
                <w:b w:val="0"/>
                <w:color w:val="000000"/>
                <w:sz w:val="20"/>
              </w:rPr>
              <w:t>MinQ12</w:t>
            </w:r>
          </w:p>
        </w:tc>
        <w:tc>
          <w:tcPr>
            <w:tcW w:type="dxa" w:w="4535"/>
            <w:vAlign w:val="center"/>
          </w:tcPr>
          <w:p>
            <w:pPr>
              <w:jc w:val="left"/>
            </w:pPr>
            <w:r/>
            <w:r>
              <w:rPr>
                <w:rFonts w:ascii="Times New Roman" w:hAnsi="Times New Roman"/>
                <w:b w:val="0"/>
                <w:color w:val="000000"/>
                <w:sz w:val="20"/>
              </w:rPr>
              <w:t>Mínimo de sedes Q1-Q2 en comuna para redistribución.</w:t>
            </w:r>
          </w:p>
        </w:tc>
        <w:tc>
          <w:tcPr>
            <w:tcW w:type="dxa" w:w="1134"/>
            <w:vAlign w:val="center"/>
          </w:tcPr>
          <w:p>
            <w:pPr>
              <w:jc w:val="left"/>
            </w:pPr>
            <w:r/>
            <w:r>
              <w:rPr>
                <w:rFonts w:ascii="Times New Roman" w:hAnsi="Times New Roman"/>
                <w:b w:val="0"/>
                <w:color w:val="000000"/>
                <w:sz w:val="20"/>
              </w:rPr>
              <w:t>2 sedes</w:t>
            </w:r>
          </w:p>
        </w:tc>
        <w:tc>
          <w:tcPr>
            <w:tcW w:type="dxa" w:w="1701"/>
            <w:vAlign w:val="center"/>
          </w:tcPr>
          <w:p>
            <w:pPr>
              <w:jc w:val="left"/>
            </w:pPr>
            <w:r/>
            <w:r>
              <w:rPr>
                <w:rFonts w:ascii="Times New Roman" w:hAnsi="Times New Roman"/>
                <w:b w:val="0"/>
                <w:color w:val="000000"/>
                <w:sz w:val="20"/>
              </w:rPr>
              <w:t>1 – 5 sedes</w:t>
            </w:r>
          </w:p>
        </w:tc>
      </w:tr>
    </w:tbl>
    <w:p>
      <w:pPr>
        <w:pStyle w:val="Heading2"/>
      </w:pPr>
      <w:r>
        <w:t>7.4 Definición de los ocho programas</w:t>
      </w:r>
    </w:p>
    <w:p>
      <w:pPr>
        <w:jc w:val="both"/>
      </w:pPr>
      <w:r>
        <w:rPr>
          <w:rFonts w:ascii="Times New Roman" w:hAnsi="Times New Roman"/>
          <w:b w:val="0"/>
          <w:i/>
          <w:color w:val="0F4761"/>
          <w:sz w:val="20"/>
        </w:rPr>
        <w:t>Tabla 19. Definición técnica de los ocho programas oficiales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4252"/>
            <w:shd w:val="clear" w:color="auto" w:fill="0F4761"/>
            <w:vAlign w:val="center"/>
          </w:tcPr>
          <w:p>
            <w:pPr>
              <w:jc w:val="center"/>
            </w:pPr>
            <w:r/>
            <w:r>
              <w:rPr>
                <w:rFonts w:ascii="Times New Roman" w:hAnsi="Times New Roman"/>
                <w:b/>
                <w:color w:val="FFFFFF"/>
                <w:sz w:val="20"/>
              </w:rPr>
              <w:t>Descripción técnica</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Valor (MM COP)</w:t>
            </w:r>
          </w:p>
        </w:tc>
      </w:tr>
      <w:tr>
        <w:tc>
          <w:tcPr>
            <w:tcW w:type="dxa" w:w="2835"/>
            <w:vAlign w:val="center"/>
          </w:tcPr>
          <w:p>
            <w:pPr>
              <w:jc w:val="left"/>
            </w:pPr>
            <w:r/>
            <w:r>
              <w:rPr>
                <w:rFonts w:ascii="Times New Roman" w:hAnsi="Times New Roman"/>
                <w:b w:val="0"/>
                <w:color w:val="000000"/>
                <w:sz w:val="20"/>
              </w:rPr>
              <w:t>P1 — Construcción Nueva Infraestructura</w:t>
            </w:r>
          </w:p>
        </w:tc>
        <w:tc>
          <w:tcPr>
            <w:tcW w:type="dxa" w:w="4252"/>
            <w:vAlign w:val="center"/>
          </w:tcPr>
          <w:p>
            <w:pPr>
              <w:jc w:val="left"/>
            </w:pPr>
            <w:r/>
            <w:r>
              <w:rPr>
                <w:rFonts w:ascii="Times New Roman" w:hAnsi="Times New Roman"/>
                <w:b w:val="0"/>
                <w:color w:val="000000"/>
                <w:sz w:val="20"/>
              </w:rPr>
              <w:t>Construcción de nueva sede oficial (incluye matrícula NO OFICIAL en cobertura del Distrito).</w:t>
            </w:r>
          </w:p>
        </w:tc>
        <w:tc>
          <w:tcPr>
            <w:tcW w:type="dxa" w:w="850"/>
            <w:vAlign w:val="center"/>
          </w:tcPr>
          <w:p>
            <w:pPr>
              <w:jc w:val="right"/>
            </w:pPr>
            <w:r/>
            <w:r>
              <w:rPr>
                <w:rFonts w:ascii="Times New Roman" w:hAnsi="Times New Roman"/>
                <w:b w:val="0"/>
                <w:color w:val="000000"/>
                <w:sz w:val="20"/>
              </w:rPr>
              <w:t>1</w:t>
            </w:r>
          </w:p>
        </w:tc>
        <w:tc>
          <w:tcPr>
            <w:tcW w:type="dxa" w:w="1417"/>
            <w:vAlign w:val="center"/>
          </w:tcPr>
          <w:p>
            <w:pPr>
              <w:jc w:val="right"/>
            </w:pPr>
            <w:r/>
            <w:r>
              <w:rPr>
                <w:rFonts w:ascii="Times New Roman" w:hAnsi="Times New Roman"/>
                <w:b w:val="0"/>
                <w:color w:val="000000"/>
                <w:sz w:val="20"/>
              </w:rPr>
              <w:t>802.070</w:t>
            </w:r>
          </w:p>
        </w:tc>
      </w:tr>
      <w:tr>
        <w:tc>
          <w:tcPr>
            <w:tcW w:type="dxa" w:w="2835"/>
            <w:vAlign w:val="center"/>
          </w:tcPr>
          <w:p>
            <w:pPr>
              <w:jc w:val="left"/>
            </w:pPr>
            <w:r/>
            <w:r>
              <w:rPr>
                <w:rFonts w:ascii="Times New Roman" w:hAnsi="Times New Roman"/>
                <w:b w:val="0"/>
                <w:color w:val="000000"/>
                <w:sz w:val="20"/>
              </w:rPr>
              <w:t>P2 — Reforzamiento Estructural Prioritario</w:t>
            </w:r>
          </w:p>
        </w:tc>
        <w:tc>
          <w:tcPr>
            <w:tcW w:type="dxa" w:w="4252"/>
            <w:vAlign w:val="center"/>
          </w:tcPr>
          <w:p>
            <w:pPr>
              <w:jc w:val="left"/>
            </w:pPr>
            <w:r/>
            <w:r>
              <w:rPr>
                <w:rFonts w:ascii="Times New Roman" w:hAnsi="Times New Roman"/>
                <w:b w:val="0"/>
                <w:color w:val="000000"/>
                <w:sz w:val="20"/>
              </w:rPr>
              <w:t>Refuerzo estructural NSR-10 en sedes con urgencia CRÍTICA o MUY ALTA (vía Nodo N5).</w:t>
            </w:r>
          </w:p>
        </w:tc>
        <w:tc>
          <w:tcPr>
            <w:tcW w:type="dxa" w:w="850"/>
            <w:vAlign w:val="center"/>
          </w:tcPr>
          <w:p>
            <w:pPr>
              <w:jc w:val="right"/>
            </w:pPr>
            <w:r/>
            <w:r>
              <w:rPr>
                <w:rFonts w:ascii="Times New Roman" w:hAnsi="Times New Roman"/>
                <w:b w:val="0"/>
                <w:color w:val="000000"/>
                <w:sz w:val="20"/>
              </w:rPr>
              <w:t>36</w:t>
            </w:r>
          </w:p>
        </w:tc>
        <w:tc>
          <w:tcPr>
            <w:tcW w:type="dxa" w:w="1417"/>
            <w:vAlign w:val="center"/>
          </w:tcPr>
          <w:p>
            <w:pPr>
              <w:jc w:val="right"/>
            </w:pPr>
            <w:r/>
            <w:r>
              <w:rPr>
                <w:rFonts w:ascii="Times New Roman" w:hAnsi="Times New Roman"/>
                <w:b w:val="0"/>
                <w:color w:val="000000"/>
                <w:sz w:val="20"/>
              </w:rPr>
              <w:t>179.887</w:t>
            </w:r>
          </w:p>
        </w:tc>
      </w:tr>
      <w:tr>
        <w:tc>
          <w:tcPr>
            <w:tcW w:type="dxa" w:w="2835"/>
            <w:vAlign w:val="center"/>
          </w:tcPr>
          <w:p>
            <w:pPr>
              <w:jc w:val="left"/>
            </w:pPr>
            <w:r/>
            <w:r>
              <w:rPr>
                <w:rFonts w:ascii="Times New Roman" w:hAnsi="Times New Roman"/>
                <w:b w:val="0"/>
                <w:color w:val="000000"/>
                <w:sz w:val="20"/>
              </w:rPr>
              <w:t>P3 — Adecuación y Reforzamiento</w:t>
            </w:r>
          </w:p>
        </w:tc>
        <w:tc>
          <w:tcPr>
            <w:tcW w:type="dxa" w:w="4252"/>
            <w:vAlign w:val="center"/>
          </w:tcPr>
          <w:p>
            <w:pPr>
              <w:jc w:val="left"/>
            </w:pPr>
            <w:r/>
            <w:r>
              <w:rPr>
                <w:rFonts w:ascii="Times New Roman" w:hAnsi="Times New Roman"/>
                <w:b w:val="0"/>
                <w:color w:val="000000"/>
                <w:sz w:val="20"/>
              </w:rPr>
              <w:t>Adecuación de espacios según calificación NTC 4595 (factor lineal 1.0→100% .. 4.0→25%).</w:t>
            </w:r>
          </w:p>
        </w:tc>
        <w:tc>
          <w:tcPr>
            <w:tcW w:type="dxa" w:w="850"/>
            <w:vAlign w:val="center"/>
          </w:tcPr>
          <w:p>
            <w:pPr>
              <w:jc w:val="right"/>
            </w:pPr>
            <w:r/>
            <w:r>
              <w:rPr>
                <w:rFonts w:ascii="Times New Roman" w:hAnsi="Times New Roman"/>
                <w:b w:val="0"/>
                <w:color w:val="000000"/>
                <w:sz w:val="20"/>
              </w:rPr>
              <w:t>192</w:t>
            </w:r>
          </w:p>
        </w:tc>
        <w:tc>
          <w:tcPr>
            <w:tcW w:type="dxa" w:w="1417"/>
            <w:vAlign w:val="center"/>
          </w:tcPr>
          <w:p>
            <w:pPr>
              <w:jc w:val="right"/>
            </w:pPr>
            <w:r/>
            <w:r>
              <w:rPr>
                <w:rFonts w:ascii="Times New Roman" w:hAnsi="Times New Roman"/>
                <w:b w:val="0"/>
                <w:color w:val="000000"/>
                <w:sz w:val="20"/>
              </w:rPr>
              <w:t>502.235</w:t>
            </w:r>
          </w:p>
        </w:tc>
      </w:tr>
      <w:tr>
        <w:tc>
          <w:tcPr>
            <w:tcW w:type="dxa" w:w="2835"/>
            <w:vAlign w:val="center"/>
          </w:tcPr>
          <w:p>
            <w:pPr>
              <w:jc w:val="left"/>
            </w:pPr>
            <w:r/>
            <w:r>
              <w:rPr>
                <w:rFonts w:ascii="Times New Roman" w:hAnsi="Times New Roman"/>
                <w:b w:val="0"/>
                <w:color w:val="000000"/>
                <w:sz w:val="20"/>
              </w:rPr>
              <w:t>P4 — Ampliación en Sitio Propio</w:t>
            </w:r>
          </w:p>
        </w:tc>
        <w:tc>
          <w:tcPr>
            <w:tcW w:type="dxa" w:w="4252"/>
            <w:vAlign w:val="center"/>
          </w:tcPr>
          <w:p>
            <w:pPr>
              <w:jc w:val="left"/>
            </w:pPr>
            <w:r/>
            <w:r>
              <w:rPr>
                <w:rFonts w:ascii="Times New Roman" w:hAnsi="Times New Roman"/>
                <w:b w:val="0"/>
                <w:color w:val="000000"/>
                <w:sz w:val="20"/>
              </w:rPr>
              <w:t>Construcción de área adicional en lote propio (POT Posible o Parcial).</w:t>
            </w:r>
          </w:p>
        </w:tc>
        <w:tc>
          <w:tcPr>
            <w:tcW w:type="dxa" w:w="850"/>
            <w:vAlign w:val="center"/>
          </w:tcPr>
          <w:p>
            <w:pPr>
              <w:jc w:val="right"/>
            </w:pPr>
            <w:r/>
            <w:r>
              <w:rPr>
                <w:rFonts w:ascii="Times New Roman" w:hAnsi="Times New Roman"/>
                <w:b w:val="0"/>
                <w:color w:val="000000"/>
                <w:sz w:val="20"/>
              </w:rPr>
              <w:t>171</w:t>
            </w:r>
          </w:p>
        </w:tc>
        <w:tc>
          <w:tcPr>
            <w:tcW w:type="dxa" w:w="1417"/>
            <w:vAlign w:val="center"/>
          </w:tcPr>
          <w:p>
            <w:pPr>
              <w:jc w:val="right"/>
            </w:pPr>
            <w:r/>
            <w:r>
              <w:rPr>
                <w:rFonts w:ascii="Times New Roman" w:hAnsi="Times New Roman"/>
                <w:b w:val="0"/>
                <w:color w:val="000000"/>
                <w:sz w:val="20"/>
              </w:rPr>
              <w:t>848.845</w:t>
            </w:r>
          </w:p>
        </w:tc>
      </w:tr>
      <w:tr>
        <w:tc>
          <w:tcPr>
            <w:tcW w:type="dxa" w:w="2835"/>
            <w:vAlign w:val="center"/>
          </w:tcPr>
          <w:p>
            <w:pPr>
              <w:jc w:val="left"/>
            </w:pPr>
            <w:r/>
            <w:r>
              <w:rPr>
                <w:rFonts w:ascii="Times New Roman" w:hAnsi="Times New Roman"/>
                <w:b w:val="0"/>
                <w:color w:val="000000"/>
                <w:sz w:val="20"/>
              </w:rPr>
              <w:t>P5 — Redistribución de Matrícula</w:t>
            </w:r>
          </w:p>
        </w:tc>
        <w:tc>
          <w:tcPr>
            <w:tcW w:type="dxa" w:w="4252"/>
            <w:vAlign w:val="center"/>
          </w:tcPr>
          <w:p>
            <w:pPr>
              <w:jc w:val="left"/>
            </w:pPr>
            <w:r/>
            <w:r>
              <w:rPr>
                <w:rFonts w:ascii="Times New Roman" w:hAnsi="Times New Roman"/>
                <w:b w:val="0"/>
                <w:color w:val="000000"/>
                <w:sz w:val="20"/>
              </w:rPr>
              <w:t>Redistribución de matrícula a sedes vecinas (sin inversión directa en la sede fuente).</w:t>
            </w:r>
          </w:p>
        </w:tc>
        <w:tc>
          <w:tcPr>
            <w:tcW w:type="dxa" w:w="850"/>
            <w:vAlign w:val="center"/>
          </w:tcPr>
          <w:p>
            <w:pPr>
              <w:jc w:val="right"/>
            </w:pPr>
            <w:r/>
            <w:r>
              <w:rPr>
                <w:rFonts w:ascii="Times New Roman" w:hAnsi="Times New Roman"/>
                <w:b w:val="0"/>
                <w:color w:val="000000"/>
                <w:sz w:val="20"/>
              </w:rPr>
              <w:t>41</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P6 — Cierre de Sede y Redistribución</w:t>
            </w:r>
          </w:p>
        </w:tc>
        <w:tc>
          <w:tcPr>
            <w:tcW w:type="dxa" w:w="4252"/>
            <w:vAlign w:val="center"/>
          </w:tcPr>
          <w:p>
            <w:pPr>
              <w:jc w:val="left"/>
            </w:pPr>
            <w:r/>
            <w:r>
              <w:rPr>
                <w:rFonts w:ascii="Times New Roman" w:hAnsi="Times New Roman"/>
                <w:b w:val="0"/>
                <w:color w:val="000000"/>
                <w:sz w:val="20"/>
              </w:rPr>
              <w:t>Cierre de sede ineficiente + construcción de nuevas sedes que absorben la matrícula.</w:t>
            </w:r>
          </w:p>
        </w:tc>
        <w:tc>
          <w:tcPr>
            <w:tcW w:type="dxa" w:w="850"/>
            <w:vAlign w:val="center"/>
          </w:tcPr>
          <w:p>
            <w:pPr>
              <w:jc w:val="right"/>
            </w:pPr>
            <w:r/>
            <w:r>
              <w:rPr>
                <w:rFonts w:ascii="Times New Roman" w:hAnsi="Times New Roman"/>
                <w:b w:val="0"/>
                <w:color w:val="000000"/>
                <w:sz w:val="20"/>
              </w:rPr>
              <w:t>81</w:t>
            </w:r>
          </w:p>
        </w:tc>
        <w:tc>
          <w:tcPr>
            <w:tcW w:type="dxa" w:w="1417"/>
            <w:vAlign w:val="center"/>
          </w:tcPr>
          <w:p>
            <w:pPr>
              <w:jc w:val="right"/>
            </w:pPr>
            <w:r/>
            <w:r>
              <w:rPr>
                <w:rFonts w:ascii="Times New Roman" w:hAnsi="Times New Roman"/>
                <w:b w:val="0"/>
                <w:color w:val="000000"/>
                <w:sz w:val="20"/>
              </w:rPr>
              <w:t>1.800.196</w:t>
            </w:r>
          </w:p>
        </w:tc>
      </w:tr>
      <w:tr>
        <w:tc>
          <w:tcPr>
            <w:tcW w:type="dxa" w:w="2835"/>
            <w:vAlign w:val="center"/>
          </w:tcPr>
          <w:p>
            <w:pPr>
              <w:jc w:val="left"/>
            </w:pPr>
            <w:r/>
            <w:r>
              <w:rPr>
                <w:rFonts w:ascii="Times New Roman" w:hAnsi="Times New Roman"/>
                <w:b w:val="0"/>
                <w:color w:val="000000"/>
                <w:sz w:val="20"/>
              </w:rPr>
              <w:t>P7 — Adecuación Parcial</w:t>
            </w:r>
          </w:p>
        </w:tc>
        <w:tc>
          <w:tcPr>
            <w:tcW w:type="dxa" w:w="4252"/>
            <w:vAlign w:val="center"/>
          </w:tcPr>
          <w:p>
            <w:pPr>
              <w:jc w:val="left"/>
            </w:pPr>
            <w:r/>
            <w:r>
              <w:rPr>
                <w:rFonts w:ascii="Times New Roman" w:hAnsi="Times New Roman"/>
                <w:b w:val="0"/>
                <w:color w:val="000000"/>
                <w:sz w:val="20"/>
              </w:rPr>
              <w:t>Adecuación parcial mínima (Q3-Q5 urbana no-principal sin redistribución posible).</w:t>
            </w:r>
          </w:p>
        </w:tc>
        <w:tc>
          <w:tcPr>
            <w:tcW w:type="dxa" w:w="850"/>
            <w:vAlign w:val="center"/>
          </w:tcPr>
          <w:p>
            <w:pPr>
              <w:jc w:val="right"/>
            </w:pPr>
            <w:r/>
            <w:r>
              <w:rPr>
                <w:rFonts w:ascii="Times New Roman" w:hAnsi="Times New Roman"/>
                <w:b w:val="0"/>
                <w:color w:val="000000"/>
                <w:sz w:val="20"/>
              </w:rPr>
              <w:t>0</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P8 — Reconstrucción en Sitio Propio</w:t>
            </w:r>
          </w:p>
        </w:tc>
        <w:tc>
          <w:tcPr>
            <w:tcW w:type="dxa" w:w="4252"/>
            <w:vAlign w:val="center"/>
          </w:tcPr>
          <w:p>
            <w:pPr>
              <w:jc w:val="left"/>
            </w:pPr>
            <w:r/>
            <w:r>
              <w:rPr>
                <w:rFonts w:ascii="Times New Roman" w:hAnsi="Times New Roman"/>
                <w:b w:val="0"/>
                <w:color w:val="000000"/>
                <w:sz w:val="20"/>
              </w:rPr>
              <w:t>Reconstrucción total en sitio propio cuando BC &gt; 70% × Valor de Reposición.</w:t>
            </w:r>
          </w:p>
        </w:tc>
        <w:tc>
          <w:tcPr>
            <w:tcW w:type="dxa" w:w="850"/>
            <w:vAlign w:val="center"/>
          </w:tcPr>
          <w:p>
            <w:pPr>
              <w:jc w:val="right"/>
            </w:pPr>
            <w:r/>
            <w:r>
              <w:rPr>
                <w:rFonts w:ascii="Times New Roman" w:hAnsi="Times New Roman"/>
                <w:b w:val="0"/>
                <w:color w:val="000000"/>
                <w:sz w:val="20"/>
              </w:rPr>
              <w:t>19</w:t>
            </w:r>
          </w:p>
        </w:tc>
        <w:tc>
          <w:tcPr>
            <w:tcW w:type="dxa" w:w="1417"/>
            <w:vAlign w:val="center"/>
          </w:tcPr>
          <w:p>
            <w:pPr>
              <w:jc w:val="right"/>
            </w:pPr>
            <w:r/>
            <w:r>
              <w:rPr>
                <w:rFonts w:ascii="Times New Roman" w:hAnsi="Times New Roman"/>
                <w:b w:val="0"/>
                <w:color w:val="000000"/>
                <w:sz w:val="20"/>
              </w:rPr>
              <w:t>140.947</w:t>
            </w:r>
          </w:p>
        </w:tc>
      </w:tr>
    </w:tbl>
    <w:p>
      <w:r>
        <w:br w:type="page"/>
      </w:r>
    </w:p>
    <w:p>
      <w:pPr>
        <w:jc w:val="center"/>
      </w:pPr>
      <w:r>
        <w:rPr>
          <w:rFonts w:ascii="Times New Roman" w:hAnsi="Times New Roman"/>
          <w:b/>
          <w:color w:val="0F4761"/>
          <w:sz w:val="20"/>
        </w:rPr>
        <w:t>Figura 10. Distribución de sedes por programa oficial PMIE 2026.</w:t>
      </w:r>
    </w:p>
    <w:p>
      <w:pPr>
        <w:jc w:val="center"/>
      </w:pPr>
      <w:r>
        <w:drawing>
          <wp:inline xmlns:a="http://schemas.openxmlformats.org/drawingml/2006/main" xmlns:pic="http://schemas.openxmlformats.org/drawingml/2006/picture">
            <wp:extent cx="5400000" cy="2953569"/>
            <wp:docPr id="9" name="Picture 9"/>
            <wp:cNvGraphicFramePr>
              <a:graphicFrameLocks noChangeAspect="1"/>
            </wp:cNvGraphicFramePr>
            <a:graphic>
              <a:graphicData uri="http://schemas.openxmlformats.org/drawingml/2006/picture">
                <pic:pic>
                  <pic:nvPicPr>
                    <pic:cNvPr id="0" name="G8_sedes_programa.png"/>
                    <pic:cNvPicPr/>
                  </pic:nvPicPr>
                  <pic:blipFill>
                    <a:blip r:embed="rId17"/>
                    <a:stretch>
                      <a:fillRect/>
                    </a:stretch>
                  </pic:blipFill>
                  <pic:spPr>
                    <a:xfrm>
                      <a:off x="0" y="0"/>
                      <a:ext cx="5400000" cy="295356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Una sede puede caer simultáneamente en múltiples programas: por ejemplo, una sede con déficit de área y riesgo estructural CRÍTICA recibe asignación P4+P2+P3. El gráfico muestra el conteo de sedes que tienen cada programa en su asignación, por lo que la suma supera las 316 sedes evaluadas. El Programa P3 (192 sedes, 61% del parque) es el más extendido —prácticamente toda sede requiere alguna intervención de adecuación—; el P4 (171 sedes) es el segundo más frecuente reflejando el déficit generalizado de área; P1 sólo aplica a sedes sin alternativa predial; P6 atiende 81 sedes Q3-Q5 ineficientes con cierre y redistribución.</w:t>
      </w:r>
    </w:p>
    <w:p>
      <w:r>
        <w:rPr>
          <w:rFonts w:ascii="Times New Roman" w:hAnsi="Times New Roman"/>
          <w:b/>
          <w:color w:val="0F4761"/>
          <w:sz w:val="20"/>
        </w:rPr>
        <w:t>Indicadores clave:</w:t>
      </w:r>
    </w:p>
    <w:p>
      <w:pPr>
        <w:pStyle w:val="ListBullet"/>
      </w:pPr>
      <w:r>
        <w:rPr>
          <w:rFonts w:ascii="Times New Roman" w:hAnsi="Times New Roman"/>
          <w:sz w:val="20"/>
        </w:rPr>
        <w:t>P3 Adecuación: 192 sedes (programa más extendido)</w:t>
      </w:r>
    </w:p>
    <w:p>
      <w:pPr>
        <w:pStyle w:val="ListBullet"/>
      </w:pPr>
      <w:r>
        <w:rPr>
          <w:rFonts w:ascii="Times New Roman" w:hAnsi="Times New Roman"/>
          <w:sz w:val="20"/>
        </w:rPr>
        <w:t>P4 Ampliación Sitio: 171 sedes</w:t>
      </w:r>
    </w:p>
    <w:p>
      <w:pPr>
        <w:pStyle w:val="ListBullet"/>
      </w:pPr>
      <w:r>
        <w:rPr>
          <w:rFonts w:ascii="Times New Roman" w:hAnsi="Times New Roman"/>
          <w:sz w:val="20"/>
        </w:rPr>
        <w:t>P2 Refuerzo Estructural: 36 sedes (overlay vía N5)</w:t>
      </w:r>
    </w:p>
    <w:p>
      <w:pPr>
        <w:pStyle w:val="ListBullet"/>
      </w:pPr>
      <w:r>
        <w:rPr>
          <w:rFonts w:ascii="Times New Roman" w:hAnsi="Times New Roman"/>
          <w:sz w:val="20"/>
        </w:rPr>
        <w:t>P8 Reconstrucción: 19 sedes (alta brecha estructural)</w:t>
      </w:r>
    </w:p>
    <w:p>
      <w:pPr>
        <w:jc w:val="center"/>
      </w:pPr>
      <w:r>
        <w:rPr>
          <w:rFonts w:ascii="Times New Roman" w:hAnsi="Times New Roman"/>
          <w:b/>
          <w:color w:val="0F4761"/>
          <w:sz w:val="20"/>
        </w:rPr>
        <w:t>Figura 11. Inversión por programa oficial PMIE 2026.</w:t>
      </w:r>
    </w:p>
    <w:p>
      <w:pPr>
        <w:jc w:val="center"/>
      </w:pPr>
      <w:r>
        <w:drawing>
          <wp:inline xmlns:a="http://schemas.openxmlformats.org/drawingml/2006/main" xmlns:pic="http://schemas.openxmlformats.org/drawingml/2006/picture">
            <wp:extent cx="5400000" cy="2953569"/>
            <wp:docPr id="10" name="Picture 10"/>
            <wp:cNvGraphicFramePr>
              <a:graphicFrameLocks noChangeAspect="1"/>
            </wp:cNvGraphicFramePr>
            <a:graphic>
              <a:graphicData uri="http://schemas.openxmlformats.org/drawingml/2006/picture">
                <pic:pic>
                  <pic:nvPicPr>
                    <pic:cNvPr id="0" name="G9_inversion_programa.png"/>
                    <pic:cNvPicPr/>
                  </pic:nvPicPr>
                  <pic:blipFill>
                    <a:blip r:embed="rId18"/>
                    <a:stretch>
                      <a:fillRect/>
                    </a:stretch>
                  </pic:blipFill>
                  <pic:spPr>
                    <a:xfrm>
                      <a:off x="0" y="0"/>
                      <a:ext cx="5400000" cy="295356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distribución de la inversión refleja la magnitud y el alcance de cada programa. El P6 (Cierre + Nuevas Sedes) lidera con $1.800.196 MM COP (42,1%) — corresponde a la construcción de aproximadamente 115 sedes nuevas que reciben la matrícula redistribuida desde sedes Q3-Q5 ineficientes. El P4 (Ampliación Sitio Propio) suma $848.845 MM (19,9%) atendiendo el déficit de área en sedes con POT disponible. El P1 ($802.070 MM, 18,8%) incluye 1 sede oficial sin alternativa predial y la cobertura de matrícula NO OFICIAL en 22 comunas. El P3 (Adecuación) suma $502.235 MM (11,8%). Los programas operativos P5 (Redistribución) y P7 (Adecuación Parcial) no generan inversión directa.</w:t>
      </w:r>
    </w:p>
    <w:p>
      <w:r>
        <w:rPr>
          <w:rFonts w:ascii="Times New Roman" w:hAnsi="Times New Roman"/>
          <w:b/>
          <w:color w:val="0F4761"/>
          <w:sz w:val="20"/>
        </w:rPr>
        <w:t>Indicadores clave:</w:t>
      </w:r>
    </w:p>
    <w:p>
      <w:pPr>
        <w:pStyle w:val="ListBullet"/>
      </w:pPr>
      <w:r>
        <w:rPr>
          <w:rFonts w:ascii="Times New Roman" w:hAnsi="Times New Roman"/>
          <w:sz w:val="20"/>
        </w:rPr>
        <w:t>P6 lidera con $1.800.196 MM COP (42,1% del Plan)</w:t>
      </w:r>
    </w:p>
    <w:p>
      <w:pPr>
        <w:pStyle w:val="ListBullet"/>
      </w:pPr>
      <w:r>
        <w:rPr>
          <w:rFonts w:ascii="Times New Roman" w:hAnsi="Times New Roman"/>
          <w:sz w:val="20"/>
        </w:rPr>
        <w:t>P4 + P3 atienden adecuación + ampliación: $1.351 MM (31,7%)</w:t>
      </w:r>
    </w:p>
    <w:p>
      <w:pPr>
        <w:pStyle w:val="ListBullet"/>
      </w:pPr>
      <w:r>
        <w:rPr>
          <w:rFonts w:ascii="Times New Roman" w:hAnsi="Times New Roman"/>
          <w:sz w:val="20"/>
        </w:rPr>
        <w:t>P1 incluye cobertura NO OFICIAL: $772 MM adicionales</w:t>
      </w:r>
    </w:p>
    <w:p>
      <w:pPr>
        <w:jc w:val="center"/>
      </w:pPr>
      <w:r>
        <w:rPr>
          <w:rFonts w:ascii="Times New Roman" w:hAnsi="Times New Roman"/>
          <w:b/>
          <w:color w:val="0F4761"/>
          <w:sz w:val="20"/>
        </w:rPr>
        <w:t>Figura 12. Distribución del valor total del Plan PMIE 2026.</w:t>
      </w:r>
    </w:p>
    <w:p>
      <w:pPr>
        <w:jc w:val="center"/>
      </w:pPr>
      <w:r>
        <w:drawing>
          <wp:inline xmlns:a="http://schemas.openxmlformats.org/drawingml/2006/main" xmlns:pic="http://schemas.openxmlformats.org/drawingml/2006/picture">
            <wp:extent cx="5400000" cy="4150218"/>
            <wp:docPr id="11" name="Picture 11"/>
            <wp:cNvGraphicFramePr>
              <a:graphicFrameLocks noChangeAspect="1"/>
            </wp:cNvGraphicFramePr>
            <a:graphic>
              <a:graphicData uri="http://schemas.openxmlformats.org/drawingml/2006/picture">
                <pic:pic>
                  <pic:nvPicPr>
                    <pic:cNvPr id="0" name="G10_distribucion_plan.png"/>
                    <pic:cNvPicPr/>
                  </pic:nvPicPr>
                  <pic:blipFill>
                    <a:blip r:embed="rId19"/>
                    <a:stretch>
                      <a:fillRect/>
                    </a:stretch>
                  </pic:blipFill>
                  <pic:spPr>
                    <a:xfrm>
                      <a:off x="0" y="0"/>
                      <a:ext cx="5400000" cy="4150218"/>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composición porcentual de la inversión total evidencia que el mayor peso (42,1%) corresponde a la creación de nuevas sedes para redistribuir matrícula desde sedes ineficientes (P6). El segundo bloque (19,9%) lo conforma la ampliación en sitios existentes (P4) que es la solución más costo-efectiva cuando el POT lo permite. La adecuación de espacios existentes (P3) representa el 11,8% — son intervenciones más pequeñas pero generalizadas (192 sedes). La construcción nueva para cubrir matrícula no oficial (P1) suma 18,8% y la reconstrucción de sedes en alta brecha (P8) el 3,3%. El refuerzo estructural prioritario (P2) consume el 4,2% restante.</w:t>
      </w:r>
    </w:p>
    <w:p>
      <w:r>
        <w:rPr>
          <w:rFonts w:ascii="Times New Roman" w:hAnsi="Times New Roman"/>
          <w:b/>
          <w:color w:val="0F4761"/>
          <w:sz w:val="20"/>
        </w:rPr>
        <w:t>Indicadores clave:</w:t>
      </w:r>
    </w:p>
    <w:p>
      <w:pPr>
        <w:pStyle w:val="ListBullet"/>
      </w:pPr>
      <w:r>
        <w:rPr>
          <w:rFonts w:ascii="Times New Roman" w:hAnsi="Times New Roman"/>
          <w:sz w:val="20"/>
        </w:rPr>
        <w:t>Valor total del Plan: $4,27 B COP</w:t>
      </w:r>
    </w:p>
    <w:p>
      <w:pPr>
        <w:pStyle w:val="ListBullet"/>
      </w:pPr>
      <w:r>
        <w:rPr>
          <w:rFonts w:ascii="Times New Roman" w:hAnsi="Times New Roman"/>
          <w:sz w:val="20"/>
        </w:rPr>
        <w:t>Inversión en nuevas sedes (P1 + P6): $2,60 B (60,9%)</w:t>
      </w:r>
    </w:p>
    <w:p>
      <w:pPr>
        <w:pStyle w:val="ListBullet"/>
      </w:pPr>
      <w:r>
        <w:rPr>
          <w:rFonts w:ascii="Times New Roman" w:hAnsi="Times New Roman"/>
          <w:sz w:val="20"/>
        </w:rPr>
        <w:t>Intervención de sedes existentes (P2+P3+P4+P8): $1,67 B (39,1%)</w:t>
      </w:r>
    </w:p>
    <w:p>
      <w:pPr>
        <w:pStyle w:val="Heading1"/>
      </w:pPr>
      <w:r>
        <w:t>8. Plan de Inversión y Financiación</w:t>
      </w:r>
    </w:p>
    <w:p>
      <w:pPr>
        <w:pStyle w:val="Heading2"/>
      </w:pPr>
      <w:r>
        <w:t>8.1 Metodología de costeo</w:t>
      </w:r>
    </w:p>
    <w:p>
      <w:pPr>
        <w:jc w:val="both"/>
      </w:pPr>
      <w:r>
        <w:rPr>
          <w:rFonts w:ascii="Times New Roman" w:hAnsi="Times New Roman"/>
          <w:b w:val="0"/>
          <w:i w:val="0"/>
          <w:color w:val="000000"/>
          <w:sz w:val="22"/>
        </w:rPr>
        <w:t>La estimación económica se realizó aplicando los algoritmos heredados del PMIE 2019 (Anexo 6.2) actualizados con precios de mercado 2026 publicados en la Tabla de Costos Unitarios PMIE 2026. La actualización incorpora seis factores: (i) factor de localización (FD) por comuna que recoge distancia, pendiente y tipo de suelo; (ii) IPC 2026 = 1,04; (iii) overhead de 14% (7% estudios y diseños + 7% interventoría) sobre construcción y refuerzo; (iv) costo de adquisición predial (no recibe overhead); (v) factor de calidad lineal sobre adecuaciones (1,0→100% .. 4,0→25%); (vi) estándar de 5,36 m²/estudiante (NTC 6705:2023) para sedes nuevas y para cobertura NO OFICIAL.</w:t>
      </w:r>
    </w:p>
    <w:p>
      <w:pPr>
        <w:jc w:val="both"/>
      </w:pPr>
      <w:r>
        <w:rPr>
          <w:rFonts w:ascii="Times New Roman" w:hAnsi="Times New Roman"/>
          <w:b w:val="0"/>
          <w:i/>
          <w:color w:val="0F4761"/>
          <w:sz w:val="20"/>
        </w:rPr>
        <w:t>Tabla 26. Algoritmos de costeo aplicados por programa.</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6236"/>
            <w:shd w:val="clear" w:color="auto" w:fill="0F4761"/>
            <w:vAlign w:val="center"/>
          </w:tcPr>
          <w:p>
            <w:pPr>
              <w:jc w:val="center"/>
            </w:pPr>
            <w:r/>
            <w:r>
              <w:rPr>
                <w:rFonts w:ascii="Times New Roman" w:hAnsi="Times New Roman"/>
                <w:b/>
                <w:color w:val="FFFFFF"/>
                <w:sz w:val="20"/>
              </w:rPr>
              <w:t>Fórmula de costeo</w:t>
            </w:r>
          </w:p>
        </w:tc>
      </w:tr>
      <w:tr>
        <w:tc>
          <w:tcPr>
            <w:tcW w:type="dxa" w:w="2835"/>
            <w:vAlign w:val="center"/>
          </w:tcPr>
          <w:p>
            <w:pPr>
              <w:jc w:val="left"/>
            </w:pPr>
            <w:r/>
            <w:r>
              <w:rPr>
                <w:rFonts w:ascii="Times New Roman" w:hAnsi="Times New Roman"/>
                <w:b w:val="0"/>
                <w:color w:val="000000"/>
                <w:sz w:val="20"/>
              </w:rPr>
              <w:t>P1 (oficial vía N4-NO)</w:t>
            </w:r>
          </w:p>
        </w:tc>
        <w:tc>
          <w:tcPr>
            <w:tcW w:type="dxa" w:w="6236"/>
            <w:vAlign w:val="center"/>
          </w:tcPr>
          <w:p>
            <w:pPr>
              <w:jc w:val="left"/>
            </w:pPr>
            <w:r/>
            <w:r>
              <w:rPr>
                <w:rFonts w:ascii="Times New Roman" w:hAnsi="Times New Roman"/>
                <w:b w:val="0"/>
                <w:color w:val="000000"/>
                <w:sz w:val="20"/>
              </w:rPr>
              <w:t>Σ_espacios [ Déficit_amp_otro × VR_constr × FD × IPC × 1,14 + Déficit_amp_otro/POT × VR_predio × FD × IPC ]</w:t>
            </w:r>
          </w:p>
        </w:tc>
      </w:tr>
      <w:tr>
        <w:tc>
          <w:tcPr>
            <w:tcW w:type="dxa" w:w="2835"/>
            <w:vAlign w:val="center"/>
          </w:tcPr>
          <w:p>
            <w:pPr>
              <w:jc w:val="left"/>
            </w:pPr>
            <w:r/>
            <w:r>
              <w:rPr>
                <w:rFonts w:ascii="Times New Roman" w:hAnsi="Times New Roman"/>
                <w:b w:val="0"/>
                <w:color w:val="000000"/>
                <w:sz w:val="20"/>
              </w:rPr>
              <w:t>P1 (cobertura NO OFICIAL)</w:t>
            </w:r>
          </w:p>
        </w:tc>
        <w:tc>
          <w:tcPr>
            <w:tcW w:type="dxa" w:w="6236"/>
            <w:vAlign w:val="center"/>
          </w:tcPr>
          <w:p>
            <w:pPr>
              <w:jc w:val="left"/>
            </w:pPr>
            <w:r/>
            <w:r>
              <w:rPr>
                <w:rFonts w:ascii="Times New Roman" w:hAnsi="Times New Roman"/>
                <w:b w:val="0"/>
                <w:color w:val="000000"/>
                <w:sz w:val="20"/>
              </w:rPr>
              <w:t>Matrícula_NO × 5,36 × (VR_predio + VR_constr) × FD × IPC × 1,14 (todas las comunas receptoras)</w:t>
            </w:r>
          </w:p>
        </w:tc>
      </w:tr>
      <w:tr>
        <w:tc>
          <w:tcPr>
            <w:tcW w:type="dxa" w:w="2835"/>
            <w:vAlign w:val="center"/>
          </w:tcPr>
          <w:p>
            <w:pPr>
              <w:jc w:val="left"/>
            </w:pPr>
            <w:r/>
            <w:r>
              <w:rPr>
                <w:rFonts w:ascii="Times New Roman" w:hAnsi="Times New Roman"/>
                <w:b w:val="0"/>
                <w:color w:val="000000"/>
                <w:sz w:val="20"/>
              </w:rPr>
              <w:t>P1 (oficial vía N4b-NO)</w:t>
            </w:r>
          </w:p>
        </w:tc>
        <w:tc>
          <w:tcPr>
            <w:tcW w:type="dxa" w:w="6236"/>
            <w:vAlign w:val="center"/>
          </w:tcPr>
          <w:p>
            <w:pPr>
              <w:jc w:val="left"/>
            </w:pPr>
            <w:r/>
            <w:r>
              <w:rPr>
                <w:rFonts w:ascii="Times New Roman" w:hAnsi="Times New Roman"/>
                <w:b w:val="0"/>
                <w:color w:val="000000"/>
                <w:sz w:val="20"/>
              </w:rPr>
              <w:t>Área_actual × VR_constr × FD × IPC × 1,14 + Área_actual/POT × VR_predio × FD × IPC</w:t>
            </w:r>
          </w:p>
        </w:tc>
      </w:tr>
      <w:tr>
        <w:tc>
          <w:tcPr>
            <w:tcW w:type="dxa" w:w="2835"/>
            <w:vAlign w:val="center"/>
          </w:tcPr>
          <w:p>
            <w:pPr>
              <w:jc w:val="left"/>
            </w:pPr>
            <w:r/>
            <w:r>
              <w:rPr>
                <w:rFonts w:ascii="Times New Roman" w:hAnsi="Times New Roman"/>
                <w:b w:val="0"/>
                <w:color w:val="000000"/>
                <w:sz w:val="20"/>
              </w:rPr>
              <w:t>P2 (Refuerzo estructural)</w:t>
            </w:r>
          </w:p>
        </w:tc>
        <w:tc>
          <w:tcPr>
            <w:tcW w:type="dxa" w:w="6236"/>
            <w:vAlign w:val="center"/>
          </w:tcPr>
          <w:p>
            <w:pPr>
              <w:jc w:val="left"/>
            </w:pPr>
            <w:r/>
            <w:r>
              <w:rPr>
                <w:rFonts w:ascii="Times New Roman" w:hAnsi="Times New Roman"/>
                <w:b w:val="0"/>
                <w:color w:val="000000"/>
                <w:sz w:val="20"/>
              </w:rPr>
              <w:t>BE × 1,14 (solo vía N5-SÍ — CRÍTICA o MUY ALTA)</w:t>
            </w:r>
          </w:p>
        </w:tc>
      </w:tr>
      <w:tr>
        <w:tc>
          <w:tcPr>
            <w:tcW w:type="dxa" w:w="2835"/>
            <w:vAlign w:val="center"/>
          </w:tcPr>
          <w:p>
            <w:pPr>
              <w:jc w:val="left"/>
            </w:pPr>
            <w:r/>
            <w:r>
              <w:rPr>
                <w:rFonts w:ascii="Times New Roman" w:hAnsi="Times New Roman"/>
                <w:b w:val="0"/>
                <w:color w:val="000000"/>
                <w:sz w:val="20"/>
              </w:rPr>
              <w:t>P3 (Adecuación)</w:t>
            </w:r>
          </w:p>
        </w:tc>
        <w:tc>
          <w:tcPr>
            <w:tcW w:type="dxa" w:w="6236"/>
            <w:vAlign w:val="center"/>
          </w:tcPr>
          <w:p>
            <w:pPr>
              <w:jc w:val="left"/>
            </w:pPr>
            <w:r/>
            <w:r>
              <w:rPr>
                <w:rFonts w:ascii="Times New Roman" w:hAnsi="Times New Roman"/>
                <w:b w:val="0"/>
                <w:color w:val="000000"/>
                <w:sz w:val="20"/>
              </w:rPr>
              <w:t>Σ_espacios [ Área_existente × VR_arq × Factor_calidad × FD × IPC × 1,14 ] + BE × 1,14 (si N5-NO)</w:t>
            </w:r>
          </w:p>
        </w:tc>
      </w:tr>
      <w:tr>
        <w:tc>
          <w:tcPr>
            <w:tcW w:type="dxa" w:w="2835"/>
            <w:vAlign w:val="center"/>
          </w:tcPr>
          <w:p>
            <w:pPr>
              <w:jc w:val="left"/>
            </w:pPr>
            <w:r/>
            <w:r>
              <w:rPr>
                <w:rFonts w:ascii="Times New Roman" w:hAnsi="Times New Roman"/>
                <w:b w:val="0"/>
                <w:color w:val="000000"/>
                <w:sz w:val="20"/>
              </w:rPr>
              <w:t>P4 (Ampliación sitio)</w:t>
            </w:r>
          </w:p>
        </w:tc>
        <w:tc>
          <w:tcPr>
            <w:tcW w:type="dxa" w:w="6236"/>
            <w:vAlign w:val="center"/>
          </w:tcPr>
          <w:p>
            <w:pPr>
              <w:jc w:val="left"/>
            </w:pPr>
            <w:r/>
            <w:r>
              <w:rPr>
                <w:rFonts w:ascii="Times New Roman" w:hAnsi="Times New Roman"/>
                <w:b w:val="0"/>
                <w:color w:val="000000"/>
                <w:sz w:val="20"/>
              </w:rPr>
              <w:t>Σ_espacios [ Déficit_amp_sede × VR_constr × FD × IPC × 1,14 ]</w:t>
            </w:r>
          </w:p>
        </w:tc>
      </w:tr>
      <w:tr>
        <w:tc>
          <w:tcPr>
            <w:tcW w:type="dxa" w:w="2835"/>
            <w:vAlign w:val="center"/>
          </w:tcPr>
          <w:p>
            <w:pPr>
              <w:jc w:val="left"/>
            </w:pPr>
            <w:r/>
            <w:r>
              <w:rPr>
                <w:rFonts w:ascii="Times New Roman" w:hAnsi="Times New Roman"/>
                <w:b w:val="0"/>
                <w:color w:val="000000"/>
                <w:sz w:val="20"/>
              </w:rPr>
              <w:t>P4 (vía N3b-SÍ)</w:t>
            </w:r>
          </w:p>
        </w:tc>
        <w:tc>
          <w:tcPr>
            <w:tcW w:type="dxa" w:w="6236"/>
            <w:vAlign w:val="center"/>
          </w:tcPr>
          <w:p>
            <w:pPr>
              <w:jc w:val="left"/>
            </w:pPr>
            <w:r/>
            <w:r>
              <w:rPr>
                <w:rFonts w:ascii="Times New Roman" w:hAnsi="Times New Roman"/>
                <w:b w:val="0"/>
                <w:color w:val="000000"/>
                <w:sz w:val="20"/>
              </w:rPr>
              <w:t>Área_actual × VR_constr × FD × IPC × 1,14 (reconstrucción misma área)</w:t>
            </w:r>
          </w:p>
        </w:tc>
      </w:tr>
      <w:tr>
        <w:tc>
          <w:tcPr>
            <w:tcW w:type="dxa" w:w="2835"/>
            <w:vAlign w:val="center"/>
          </w:tcPr>
          <w:p>
            <w:pPr>
              <w:jc w:val="left"/>
            </w:pPr>
            <w:r/>
            <w:r>
              <w:rPr>
                <w:rFonts w:ascii="Times New Roman" w:hAnsi="Times New Roman"/>
                <w:b w:val="0"/>
                <w:color w:val="000000"/>
                <w:sz w:val="20"/>
              </w:rPr>
              <w:t>P5 (Redistribución)</w:t>
            </w:r>
          </w:p>
        </w:tc>
        <w:tc>
          <w:tcPr>
            <w:tcW w:type="dxa" w:w="6236"/>
            <w:vAlign w:val="center"/>
          </w:tcPr>
          <w:p>
            <w:pPr>
              <w:jc w:val="left"/>
            </w:pPr>
            <w:r/>
            <w:r>
              <w:rPr>
                <w:rFonts w:ascii="Times New Roman" w:hAnsi="Times New Roman"/>
                <w:b w:val="0"/>
                <w:color w:val="000000"/>
                <w:sz w:val="20"/>
              </w:rPr>
              <w:t>0 — sin inversión directa</w:t>
            </w:r>
          </w:p>
        </w:tc>
      </w:tr>
      <w:tr>
        <w:tc>
          <w:tcPr>
            <w:tcW w:type="dxa" w:w="2835"/>
            <w:vAlign w:val="center"/>
          </w:tcPr>
          <w:p>
            <w:pPr>
              <w:jc w:val="left"/>
            </w:pPr>
            <w:r/>
            <w:r>
              <w:rPr>
                <w:rFonts w:ascii="Times New Roman" w:hAnsi="Times New Roman"/>
                <w:b w:val="0"/>
                <w:color w:val="000000"/>
                <w:sz w:val="20"/>
              </w:rPr>
              <w:t>P6 (Cierre + nuevas)</w:t>
            </w:r>
          </w:p>
        </w:tc>
        <w:tc>
          <w:tcPr>
            <w:tcW w:type="dxa" w:w="6236"/>
            <w:vAlign w:val="center"/>
          </w:tcPr>
          <w:p>
            <w:pPr>
              <w:jc w:val="left"/>
            </w:pPr>
            <w:r/>
            <w:r>
              <w:rPr>
                <w:rFonts w:ascii="Times New Roman" w:hAnsi="Times New Roman"/>
                <w:b w:val="0"/>
                <w:color w:val="000000"/>
                <w:sz w:val="20"/>
              </w:rPr>
              <w:t>Valor global $1,8 B COP — 115 nuevas sedes para 54.488 estudiantes</w:t>
            </w:r>
          </w:p>
        </w:tc>
      </w:tr>
      <w:tr>
        <w:tc>
          <w:tcPr>
            <w:tcW w:type="dxa" w:w="2835"/>
            <w:vAlign w:val="center"/>
          </w:tcPr>
          <w:p>
            <w:pPr>
              <w:jc w:val="left"/>
            </w:pPr>
            <w:r/>
            <w:r>
              <w:rPr>
                <w:rFonts w:ascii="Times New Roman" w:hAnsi="Times New Roman"/>
                <w:b w:val="0"/>
                <w:color w:val="000000"/>
                <w:sz w:val="20"/>
              </w:rPr>
              <w:t>P7 (Adecuación parcial)</w:t>
            </w:r>
          </w:p>
        </w:tc>
        <w:tc>
          <w:tcPr>
            <w:tcW w:type="dxa" w:w="6236"/>
            <w:vAlign w:val="center"/>
          </w:tcPr>
          <w:p>
            <w:pPr>
              <w:jc w:val="left"/>
            </w:pPr>
            <w:r/>
            <w:r>
              <w:rPr>
                <w:rFonts w:ascii="Times New Roman" w:hAnsi="Times New Roman"/>
                <w:b w:val="0"/>
                <w:color w:val="000000"/>
                <w:sz w:val="20"/>
              </w:rPr>
              <w:t>0,5 × Σ_espacios [ Área_existente × VR_arq × Factor_calidad × FD × IPC × 1,14 ]</w:t>
            </w:r>
          </w:p>
        </w:tc>
      </w:tr>
      <w:tr>
        <w:tc>
          <w:tcPr>
            <w:tcW w:type="dxa" w:w="2835"/>
            <w:vAlign w:val="center"/>
          </w:tcPr>
          <w:p>
            <w:pPr>
              <w:jc w:val="left"/>
            </w:pPr>
            <w:r/>
            <w:r>
              <w:rPr>
                <w:rFonts w:ascii="Times New Roman" w:hAnsi="Times New Roman"/>
                <w:b w:val="0"/>
                <w:color w:val="000000"/>
                <w:sz w:val="20"/>
              </w:rPr>
              <w:t>P8 (Reconstrucción)</w:t>
            </w:r>
          </w:p>
        </w:tc>
        <w:tc>
          <w:tcPr>
            <w:tcW w:type="dxa" w:w="6236"/>
            <w:vAlign w:val="center"/>
          </w:tcPr>
          <w:p>
            <w:pPr>
              <w:jc w:val="left"/>
            </w:pPr>
            <w:r/>
            <w:r>
              <w:rPr>
                <w:rFonts w:ascii="Times New Roman" w:hAnsi="Times New Roman"/>
                <w:b w:val="0"/>
                <w:color w:val="000000"/>
                <w:sz w:val="20"/>
              </w:rPr>
              <w:t>Área_actual × VR_constr × FD × IPC × 1,14 (sitio propio)</w:t>
            </w:r>
          </w:p>
        </w:tc>
      </w:tr>
    </w:tbl>
    <w:p>
      <w:pPr>
        <w:pStyle w:val="Heading2"/>
      </w:pPr>
      <w:r>
        <w:t>8.2 Escenarios de implementación</w:t>
      </w:r>
    </w:p>
    <w:p>
      <w:pPr>
        <w:jc w:val="both"/>
      </w:pPr>
      <w:r>
        <w:rPr>
          <w:rFonts w:ascii="Times New Roman" w:hAnsi="Times New Roman"/>
          <w:b w:val="0"/>
          <w:i/>
          <w:color w:val="0F4761"/>
          <w:sz w:val="20"/>
        </w:rPr>
        <w:t>Tabla 20. Escenarios de implementación del Plan.</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268"/>
            <w:shd w:val="clear" w:color="auto" w:fill="0F4761"/>
            <w:vAlign w:val="center"/>
          </w:tcPr>
          <w:p>
            <w:pPr>
              <w:jc w:val="center"/>
            </w:pPr>
            <w:r/>
            <w:r>
              <w:rPr>
                <w:rFonts w:ascii="Times New Roman" w:hAnsi="Times New Roman"/>
                <w:b/>
                <w:color w:val="FFFFFF"/>
                <w:sz w:val="20"/>
              </w:rPr>
              <w:t>Escenario</w:t>
            </w:r>
          </w:p>
        </w:tc>
        <w:tc>
          <w:tcPr>
            <w:tcW w:type="dxa" w:w="3118"/>
            <w:shd w:val="clear" w:color="auto" w:fill="0F4761"/>
            <w:vAlign w:val="center"/>
          </w:tcPr>
          <w:p>
            <w:pPr>
              <w:jc w:val="center"/>
            </w:pPr>
            <w:r/>
            <w:r>
              <w:rPr>
                <w:rFonts w:ascii="Times New Roman" w:hAnsi="Times New Roman"/>
                <w:b/>
                <w:color w:val="FFFFFF"/>
                <w:sz w:val="20"/>
              </w:rPr>
              <w:t>Programas incluidos</w:t>
            </w:r>
          </w:p>
        </w:tc>
        <w:tc>
          <w:tcPr>
            <w:tcW w:type="dxa" w:w="1417"/>
            <w:shd w:val="clear" w:color="auto" w:fill="0F4761"/>
            <w:vAlign w:val="center"/>
          </w:tcPr>
          <w:p>
            <w:pPr>
              <w:jc w:val="center"/>
            </w:pPr>
            <w:r/>
            <w:r>
              <w:rPr>
                <w:rFonts w:ascii="Times New Roman" w:hAnsi="Times New Roman"/>
                <w:b/>
                <w:color w:val="FFFFFF"/>
                <w:sz w:val="20"/>
              </w:rPr>
              <w:t>MM COP</w:t>
            </w:r>
          </w:p>
        </w:tc>
        <w:tc>
          <w:tcPr>
            <w:tcW w:type="dxa" w:w="1134"/>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r>
      <w:tr>
        <w:tc>
          <w:tcPr>
            <w:tcW w:type="dxa" w:w="2268"/>
            <w:vAlign w:val="center"/>
          </w:tcPr>
          <w:p>
            <w:pPr>
              <w:jc w:val="left"/>
            </w:pPr>
            <w:r/>
            <w:r>
              <w:rPr>
                <w:rFonts w:ascii="Times New Roman" w:hAnsi="Times New Roman"/>
                <w:b w:val="0"/>
                <w:color w:val="000000"/>
                <w:sz w:val="20"/>
              </w:rPr>
              <w:t>1. Mínimo (NSR-10)</w:t>
            </w:r>
          </w:p>
        </w:tc>
        <w:tc>
          <w:tcPr>
            <w:tcW w:type="dxa" w:w="3118"/>
            <w:vAlign w:val="center"/>
          </w:tcPr>
          <w:p>
            <w:pPr>
              <w:jc w:val="left"/>
            </w:pPr>
            <w:r/>
            <w:r>
              <w:rPr>
                <w:rFonts w:ascii="Times New Roman" w:hAnsi="Times New Roman"/>
                <w:b w:val="0"/>
                <w:color w:val="000000"/>
                <w:sz w:val="20"/>
              </w:rPr>
              <w:t>P2 + P8 (urgencias estructurales)</w:t>
            </w:r>
          </w:p>
        </w:tc>
        <w:tc>
          <w:tcPr>
            <w:tcW w:type="dxa" w:w="1417"/>
            <w:vAlign w:val="center"/>
          </w:tcPr>
          <w:p>
            <w:pPr>
              <w:jc w:val="right"/>
            </w:pPr>
            <w:r/>
            <w:r>
              <w:rPr>
                <w:rFonts w:ascii="Times New Roman" w:hAnsi="Times New Roman"/>
                <w:b w:val="0"/>
                <w:color w:val="000000"/>
                <w:sz w:val="20"/>
              </w:rPr>
              <w:t>320.834</w:t>
            </w:r>
          </w:p>
        </w:tc>
        <w:tc>
          <w:tcPr>
            <w:tcW w:type="dxa" w:w="1134"/>
            <w:vAlign w:val="center"/>
          </w:tcPr>
          <w:p>
            <w:pPr>
              <w:jc w:val="right"/>
            </w:pPr>
            <w:r/>
            <w:r>
              <w:rPr>
                <w:rFonts w:ascii="Times New Roman" w:hAnsi="Times New Roman"/>
                <w:b w:val="0"/>
                <w:color w:val="000000"/>
                <w:sz w:val="20"/>
              </w:rPr>
              <w:t>55</w:t>
            </w:r>
          </w:p>
        </w:tc>
        <w:tc>
          <w:tcPr>
            <w:tcW w:type="dxa" w:w="1417"/>
            <w:vAlign w:val="center"/>
          </w:tcPr>
          <w:p>
            <w:pPr>
              <w:jc w:val="right"/>
            </w:pPr>
            <w:r/>
            <w:r>
              <w:rPr>
                <w:rFonts w:ascii="Times New Roman" w:hAnsi="Times New Roman"/>
                <w:b w:val="0"/>
                <w:color w:val="000000"/>
                <w:sz w:val="20"/>
              </w:rPr>
              <w:t>19.583</w:t>
            </w:r>
          </w:p>
        </w:tc>
      </w:tr>
      <w:tr>
        <w:tc>
          <w:tcPr>
            <w:tcW w:type="dxa" w:w="2268"/>
            <w:vAlign w:val="center"/>
          </w:tcPr>
          <w:p>
            <w:pPr>
              <w:jc w:val="left"/>
            </w:pPr>
            <w:r/>
            <w:r>
              <w:rPr>
                <w:rFonts w:ascii="Times New Roman" w:hAnsi="Times New Roman"/>
                <w:b w:val="0"/>
                <w:color w:val="000000"/>
                <w:sz w:val="20"/>
              </w:rPr>
              <w:t>2. Funcional Integral</w:t>
            </w:r>
          </w:p>
        </w:tc>
        <w:tc>
          <w:tcPr>
            <w:tcW w:type="dxa" w:w="3118"/>
            <w:vAlign w:val="center"/>
          </w:tcPr>
          <w:p>
            <w:pPr>
              <w:jc w:val="left"/>
            </w:pPr>
            <w:r/>
            <w:r>
              <w:rPr>
                <w:rFonts w:ascii="Times New Roman" w:hAnsi="Times New Roman"/>
                <w:b w:val="0"/>
                <w:color w:val="000000"/>
                <w:sz w:val="20"/>
              </w:rPr>
              <w:t>1 + P3 + P4</w:t>
            </w:r>
          </w:p>
        </w:tc>
        <w:tc>
          <w:tcPr>
            <w:tcW w:type="dxa" w:w="1417"/>
            <w:vAlign w:val="center"/>
          </w:tcPr>
          <w:p>
            <w:pPr>
              <w:jc w:val="right"/>
            </w:pPr>
            <w:r/>
            <w:r>
              <w:rPr>
                <w:rFonts w:ascii="Times New Roman" w:hAnsi="Times New Roman"/>
                <w:b w:val="0"/>
                <w:color w:val="000000"/>
                <w:sz w:val="20"/>
              </w:rPr>
              <w:t>1.672.000</w:t>
            </w:r>
          </w:p>
        </w:tc>
        <w:tc>
          <w:tcPr>
            <w:tcW w:type="dxa" w:w="1134"/>
            <w:vAlign w:val="center"/>
          </w:tcPr>
          <w:p>
            <w:pPr>
              <w:jc w:val="right"/>
            </w:pPr>
            <w:r/>
            <w:r>
              <w:rPr>
                <w:rFonts w:ascii="Times New Roman" w:hAnsi="Times New Roman"/>
                <w:b w:val="0"/>
                <w:color w:val="000000"/>
                <w:sz w:val="20"/>
              </w:rPr>
              <w:t>316</w:t>
            </w:r>
          </w:p>
        </w:tc>
        <w:tc>
          <w:tcPr>
            <w:tcW w:type="dxa" w:w="1417"/>
            <w:vAlign w:val="center"/>
          </w:tcPr>
          <w:p>
            <w:pPr>
              <w:jc w:val="right"/>
            </w:pPr>
            <w:r/>
            <w:r>
              <w:rPr>
                <w:rFonts w:ascii="Times New Roman" w:hAnsi="Times New Roman"/>
                <w:b w:val="0"/>
                <w:color w:val="000000"/>
                <w:sz w:val="20"/>
              </w:rPr>
              <w:t>113.086</w:t>
            </w:r>
          </w:p>
        </w:tc>
      </w:tr>
      <w:tr>
        <w:tc>
          <w:tcPr>
            <w:tcW w:type="dxa" w:w="2268"/>
            <w:vAlign w:val="center"/>
          </w:tcPr>
          <w:p>
            <w:pPr>
              <w:jc w:val="left"/>
            </w:pPr>
            <w:r/>
            <w:r>
              <w:rPr>
                <w:rFonts w:ascii="Times New Roman" w:hAnsi="Times New Roman"/>
                <w:b w:val="0"/>
                <w:color w:val="000000"/>
                <w:sz w:val="20"/>
              </w:rPr>
              <w:t>3. Plan Maestro Completo</w:t>
            </w:r>
          </w:p>
        </w:tc>
        <w:tc>
          <w:tcPr>
            <w:tcW w:type="dxa" w:w="3118"/>
            <w:vAlign w:val="center"/>
          </w:tcPr>
          <w:p>
            <w:pPr>
              <w:jc w:val="left"/>
            </w:pPr>
            <w:r/>
            <w:r>
              <w:rPr>
                <w:rFonts w:ascii="Times New Roman" w:hAnsi="Times New Roman"/>
                <w:b w:val="0"/>
                <w:color w:val="000000"/>
                <w:sz w:val="20"/>
              </w:rPr>
              <w:t>2 + P1 + P5 + P6 + P7 (cobertura)</w:t>
            </w:r>
          </w:p>
        </w:tc>
        <w:tc>
          <w:tcPr>
            <w:tcW w:type="dxa" w:w="1417"/>
            <w:vAlign w:val="center"/>
          </w:tcPr>
          <w:p>
            <w:pPr>
              <w:jc w:val="right"/>
            </w:pPr>
            <w:r/>
            <w:r>
              <w:rPr>
                <w:rFonts w:ascii="Times New Roman" w:hAnsi="Times New Roman"/>
                <w:b w:val="0"/>
                <w:color w:val="000000"/>
                <w:sz w:val="20"/>
              </w:rPr>
              <w:t>4.274.180</w:t>
            </w:r>
          </w:p>
        </w:tc>
        <w:tc>
          <w:tcPr>
            <w:tcW w:type="dxa" w:w="1134"/>
            <w:vAlign w:val="center"/>
          </w:tcPr>
          <w:p>
            <w:pPr>
              <w:jc w:val="left"/>
            </w:pPr>
            <w:r/>
            <w:r>
              <w:rPr>
                <w:rFonts w:ascii="Times New Roman" w:hAnsi="Times New Roman"/>
                <w:b w:val="0"/>
                <w:color w:val="000000"/>
                <w:sz w:val="20"/>
              </w:rPr>
              <w:t>~431</w:t>
            </w:r>
          </w:p>
        </w:tc>
        <w:tc>
          <w:tcPr>
            <w:tcW w:type="dxa" w:w="1417"/>
            <w:vAlign w:val="center"/>
          </w:tcPr>
          <w:p>
            <w:pPr>
              <w:jc w:val="right"/>
            </w:pPr>
            <w:r/>
            <w:r>
              <w:rPr>
                <w:rFonts w:ascii="Times New Roman" w:hAnsi="Times New Roman"/>
                <w:b w:val="0"/>
                <w:color w:val="000000"/>
                <w:sz w:val="20"/>
              </w:rPr>
              <w:t>167.574</w:t>
            </w:r>
          </w:p>
        </w:tc>
      </w:tr>
    </w:tbl>
    <w:p>
      <w:pPr>
        <w:pStyle w:val="Heading2"/>
      </w:pPr>
      <w:r>
        <w:t>8.3 Distribución temporal de la inversión</w:t>
      </w:r>
    </w:p>
    <w:p>
      <w:pPr>
        <w:jc w:val="both"/>
      </w:pPr>
      <w:r>
        <w:rPr>
          <w:rFonts w:ascii="Times New Roman" w:hAnsi="Times New Roman"/>
          <w:b w:val="0"/>
          <w:i/>
          <w:color w:val="0F4761"/>
          <w:sz w:val="20"/>
        </w:rPr>
        <w:t>Tabla 21. Distribución temporal de la inversión PMIE 2026–2039.</w:t>
      </w:r>
    </w:p>
    <w:p>
      <w:pPr>
        <w:jc w:val="center"/>
      </w:pPr>
      <w:r>
        <w:rPr>
          <w:rFonts w:ascii="Times New Roman" w:hAnsi="Times New Roman"/>
          <w:b/>
          <w:color w:val="0F4761"/>
          <w:sz w:val="20"/>
        </w:rPr>
        <w:t>Figura 16. Distribución temporal de la inversión PMIE 2026–2039.</w:t>
      </w:r>
    </w:p>
    <w:p>
      <w:pPr>
        <w:jc w:val="center"/>
      </w:pPr>
      <w:r>
        <w:drawing>
          <wp:inline xmlns:a="http://schemas.openxmlformats.org/drawingml/2006/main" xmlns:pic="http://schemas.openxmlformats.org/drawingml/2006/picture">
            <wp:extent cx="5400000" cy="2939189"/>
            <wp:docPr id="15" name="Picture 15"/>
            <wp:cNvGraphicFramePr>
              <a:graphicFrameLocks noChangeAspect="1"/>
            </wp:cNvGraphicFramePr>
            <a:graphic>
              <a:graphicData uri="http://schemas.openxmlformats.org/drawingml/2006/picture">
                <pic:pic>
                  <pic:nvPicPr>
                    <pic:cNvPr id="0" name="G12_fases_temporales.png"/>
                    <pic:cNvPicPr/>
                  </pic:nvPicPr>
                  <pic:blipFill>
                    <a:blip r:embed="rId23"/>
                    <a:stretch>
                      <a:fillRect/>
                    </a:stretch>
                  </pic:blipFill>
                  <pic:spPr>
                    <a:xfrm>
                      <a:off x="0" y="0"/>
                      <a:ext cx="5400000" cy="293918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distribución de las inversiones en tres fases responde a criterios de urgencia técnica, capacidad institucional de gestión y disponibilidad presupuestal proyectada. La Fase 1 (2026–2030, 40% del Plan) concentra el mayor porcentaje porque atiende las urgencias estructurales NSR-10 (175 sedes CRÍTICA + MUY ALTA) y el inicio del Programa P6 en comunas con mayor déficit (13, 14, 15, 16, 21). La Fase 2 (2031–2034, 30%) ejecuta los Programas P1, P3, P4 y P8 restantes y completa el P6. La Fase 3 (2035–2039, 30%) consolida con el P5 (redistribución), la atención de sedes SIN_MAT validadas en 2027 y los ajustes finales del Plan tras la actualización trianual (2029, 2032, 2035, 2038).</w:t>
      </w:r>
    </w:p>
    <w:p>
      <w:r>
        <w:rPr>
          <w:rFonts w:ascii="Times New Roman" w:hAnsi="Times New Roman"/>
          <w:b/>
          <w:color w:val="0F4761"/>
          <w:sz w:val="20"/>
        </w:rPr>
        <w:t>Indicadores clave:</w:t>
      </w:r>
    </w:p>
    <w:p>
      <w:pPr>
        <w:pStyle w:val="ListBullet"/>
      </w:pPr>
      <w:r>
        <w:rPr>
          <w:rFonts w:ascii="Times New Roman" w:hAnsi="Times New Roman"/>
          <w:sz w:val="20"/>
        </w:rPr>
        <w:t>Fase 1 (2026–2030): $1.710 MM COP (40%) — urgencias NSR-10</w:t>
      </w:r>
    </w:p>
    <w:p>
      <w:pPr>
        <w:pStyle w:val="ListBullet"/>
      </w:pPr>
      <w:r>
        <w:rPr>
          <w:rFonts w:ascii="Times New Roman" w:hAnsi="Times New Roman"/>
          <w:sz w:val="20"/>
        </w:rPr>
        <w:t>Fase 2 (2031–2034): $1.282 MM COP (30%) — P1, P3, P4, P8</w:t>
      </w:r>
    </w:p>
    <w:p>
      <w:pPr>
        <w:pStyle w:val="ListBullet"/>
      </w:pPr>
      <w:r>
        <w:rPr>
          <w:rFonts w:ascii="Times New Roman" w:hAnsi="Times New Roman"/>
          <w:sz w:val="20"/>
        </w:rPr>
        <w:t>Fase 3 (2035–2039): $1.282 MM COP (30%) — consolidación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1984"/>
            <w:shd w:val="clear" w:color="auto" w:fill="0F4761"/>
            <w:vAlign w:val="center"/>
          </w:tcPr>
          <w:p>
            <w:pPr>
              <w:jc w:val="center"/>
            </w:pPr>
            <w:r/>
            <w:r>
              <w:rPr>
                <w:rFonts w:ascii="Times New Roman" w:hAnsi="Times New Roman"/>
                <w:b/>
                <w:color w:val="FFFFFF"/>
                <w:sz w:val="20"/>
              </w:rPr>
              <w:t>Periodo</w:t>
            </w:r>
          </w:p>
        </w:tc>
        <w:tc>
          <w:tcPr>
            <w:tcW w:type="dxa" w:w="2268"/>
            <w:shd w:val="clear" w:color="auto" w:fill="0F4761"/>
            <w:vAlign w:val="center"/>
          </w:tcPr>
          <w:p>
            <w:pPr>
              <w:jc w:val="center"/>
            </w:pPr>
            <w:r/>
            <w:r>
              <w:rPr>
                <w:rFonts w:ascii="Times New Roman" w:hAnsi="Times New Roman"/>
                <w:b/>
                <w:color w:val="FFFFFF"/>
                <w:sz w:val="20"/>
              </w:rPr>
              <w:t>Inversión (MM COP)</w:t>
            </w:r>
          </w:p>
        </w:tc>
        <w:tc>
          <w:tcPr>
            <w:tcW w:type="dxa" w:w="3118"/>
            <w:shd w:val="clear" w:color="auto" w:fill="0F4761"/>
            <w:vAlign w:val="center"/>
          </w:tcPr>
          <w:p>
            <w:pPr>
              <w:jc w:val="center"/>
            </w:pPr>
            <w:r/>
            <w:r>
              <w:rPr>
                <w:rFonts w:ascii="Times New Roman" w:hAnsi="Times New Roman"/>
                <w:b/>
                <w:color w:val="FFFFFF"/>
                <w:sz w:val="20"/>
              </w:rPr>
              <w:t>Prioridad</w:t>
            </w:r>
          </w:p>
        </w:tc>
      </w:tr>
      <w:tr>
        <w:tc>
          <w:tcPr>
            <w:tcW w:type="dxa" w:w="1701"/>
            <w:vAlign w:val="center"/>
          </w:tcPr>
          <w:p>
            <w:pPr>
              <w:jc w:val="left"/>
            </w:pPr>
            <w:r/>
            <w:r>
              <w:rPr>
                <w:rFonts w:ascii="Times New Roman" w:hAnsi="Times New Roman"/>
                <w:b w:val="0"/>
                <w:color w:val="000000"/>
                <w:sz w:val="20"/>
              </w:rPr>
              <w:t>1 — Urgencia</w:t>
            </w:r>
          </w:p>
        </w:tc>
        <w:tc>
          <w:tcPr>
            <w:tcW w:type="dxa" w:w="1984"/>
            <w:vAlign w:val="center"/>
          </w:tcPr>
          <w:p>
            <w:pPr>
              <w:jc w:val="left"/>
            </w:pPr>
            <w:r/>
            <w:r>
              <w:rPr>
                <w:rFonts w:ascii="Times New Roman" w:hAnsi="Times New Roman"/>
                <w:b w:val="0"/>
                <w:color w:val="000000"/>
                <w:sz w:val="20"/>
              </w:rPr>
              <w:t>2026–2030</w:t>
            </w:r>
          </w:p>
        </w:tc>
        <w:tc>
          <w:tcPr>
            <w:tcW w:type="dxa" w:w="2268"/>
            <w:vAlign w:val="center"/>
          </w:tcPr>
          <w:p>
            <w:pPr>
              <w:jc w:val="left"/>
            </w:pPr>
            <w:r/>
            <w:r>
              <w:rPr>
                <w:rFonts w:ascii="Times New Roman" w:hAnsi="Times New Roman"/>
                <w:b w:val="0"/>
                <w:color w:val="000000"/>
                <w:sz w:val="20"/>
              </w:rPr>
              <w:t>~1.709.672</w:t>
            </w:r>
          </w:p>
        </w:tc>
        <w:tc>
          <w:tcPr>
            <w:tcW w:type="dxa" w:w="3118"/>
            <w:vAlign w:val="center"/>
          </w:tcPr>
          <w:p>
            <w:pPr>
              <w:jc w:val="left"/>
            </w:pPr>
            <w:r/>
            <w:r>
              <w:rPr>
                <w:rFonts w:ascii="Times New Roman" w:hAnsi="Times New Roman"/>
                <w:b w:val="0"/>
                <w:color w:val="000000"/>
                <w:sz w:val="20"/>
              </w:rPr>
              <w:t>175 sedes NSR-10 crítico + P6 (parcial)</w:t>
            </w:r>
          </w:p>
        </w:tc>
      </w:tr>
      <w:tr>
        <w:tc>
          <w:tcPr>
            <w:tcW w:type="dxa" w:w="1701"/>
            <w:vAlign w:val="center"/>
          </w:tcPr>
          <w:p>
            <w:pPr>
              <w:jc w:val="left"/>
            </w:pPr>
            <w:r/>
            <w:r>
              <w:rPr>
                <w:rFonts w:ascii="Times New Roman" w:hAnsi="Times New Roman"/>
                <w:b w:val="0"/>
                <w:color w:val="000000"/>
                <w:sz w:val="20"/>
              </w:rPr>
              <w:t>2 — Intervención</w:t>
            </w:r>
          </w:p>
        </w:tc>
        <w:tc>
          <w:tcPr>
            <w:tcW w:type="dxa" w:w="1984"/>
            <w:vAlign w:val="center"/>
          </w:tcPr>
          <w:p>
            <w:pPr>
              <w:jc w:val="left"/>
            </w:pPr>
            <w:r/>
            <w:r>
              <w:rPr>
                <w:rFonts w:ascii="Times New Roman" w:hAnsi="Times New Roman"/>
                <w:b w:val="0"/>
                <w:color w:val="000000"/>
                <w:sz w:val="20"/>
              </w:rPr>
              <w:t>2031–2034</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P1, P3, P4, P8 restantes + P6 (parcial)</w:t>
            </w:r>
          </w:p>
        </w:tc>
      </w:tr>
      <w:tr>
        <w:tc>
          <w:tcPr>
            <w:tcW w:type="dxa" w:w="1701"/>
            <w:vAlign w:val="center"/>
          </w:tcPr>
          <w:p>
            <w:pPr>
              <w:jc w:val="left"/>
            </w:pPr>
            <w:r/>
            <w:r>
              <w:rPr>
                <w:rFonts w:ascii="Times New Roman" w:hAnsi="Times New Roman"/>
                <w:b w:val="0"/>
                <w:color w:val="000000"/>
                <w:sz w:val="20"/>
              </w:rPr>
              <w:t>3 — Consolidación</w:t>
            </w:r>
          </w:p>
        </w:tc>
        <w:tc>
          <w:tcPr>
            <w:tcW w:type="dxa" w:w="1984"/>
            <w:vAlign w:val="center"/>
          </w:tcPr>
          <w:p>
            <w:pPr>
              <w:jc w:val="left"/>
            </w:pPr>
            <w:r/>
            <w:r>
              <w:rPr>
                <w:rFonts w:ascii="Times New Roman" w:hAnsi="Times New Roman"/>
                <w:b w:val="0"/>
                <w:color w:val="000000"/>
                <w:sz w:val="20"/>
              </w:rPr>
              <w:t>2035–2039</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P5 (redistribución), SIN_MAT validadas, P7</w:t>
            </w:r>
          </w:p>
        </w:tc>
      </w:tr>
    </w:tbl>
    <w:p>
      <w:pPr>
        <w:pStyle w:val="Heading2"/>
      </w:pPr>
      <w:r>
        <w:t>8.4 Fuentes de financiación</w:t>
      </w:r>
    </w:p>
    <w:p>
      <w:pPr>
        <w:jc w:val="both"/>
      </w:pPr>
      <w:r>
        <w:rPr>
          <w:rFonts w:ascii="Times New Roman" w:hAnsi="Times New Roman"/>
          <w:b w:val="0"/>
          <w:i/>
          <w:color w:val="0F4761"/>
          <w:sz w:val="20"/>
        </w:rPr>
        <w:t>Tabla 22. Fuentes de financiación previstas y mecanismos de acceso.</w:t>
      </w:r>
    </w:p>
    <w:tbl>
      <w:tblPr>
        <w:tblStyle w:val="LightGrid-Accent1"/>
        <w:tblW w:type="auto" w:w="0"/>
        <w:tblLook w:firstColumn="1" w:firstRow="1" w:lastColumn="0" w:lastRow="0" w:noHBand="0" w:noVBand="1" w:val="04A0"/>
      </w:tblPr>
      <w:tblGrid>
        <w:gridCol w:w="4561"/>
        <w:gridCol w:w="4561"/>
      </w:tblGrid>
      <w:tr>
        <w:tc>
          <w:tcPr>
            <w:tcW w:type="dxa" w:w="3118"/>
            <w:shd w:val="clear" w:color="auto" w:fill="0F4761"/>
            <w:vAlign w:val="center"/>
          </w:tcPr>
          <w:p>
            <w:pPr>
              <w:jc w:val="center"/>
            </w:pPr>
            <w:r/>
            <w:r>
              <w:rPr>
                <w:rFonts w:ascii="Times New Roman" w:hAnsi="Times New Roman"/>
                <w:b/>
                <w:color w:val="FFFFFF"/>
                <w:sz w:val="20"/>
              </w:rPr>
              <w:t>Fuente</w:t>
            </w:r>
          </w:p>
        </w:tc>
        <w:tc>
          <w:tcPr>
            <w:tcW w:type="dxa" w:w="6236"/>
            <w:shd w:val="clear" w:color="auto" w:fill="0F4761"/>
            <w:vAlign w:val="center"/>
          </w:tcPr>
          <w:p>
            <w:pPr>
              <w:jc w:val="center"/>
            </w:pPr>
            <w:r/>
            <w:r>
              <w:rPr>
                <w:rFonts w:ascii="Times New Roman" w:hAnsi="Times New Roman"/>
                <w:b/>
                <w:color w:val="FFFFFF"/>
                <w:sz w:val="20"/>
              </w:rPr>
              <w:t>Mecanismo de acceso</w:t>
            </w:r>
          </w:p>
        </w:tc>
      </w:tr>
      <w:tr>
        <w:tc>
          <w:tcPr>
            <w:tcW w:type="dxa" w:w="3118"/>
            <w:vAlign w:val="center"/>
          </w:tcPr>
          <w:p>
            <w:pPr>
              <w:jc w:val="left"/>
            </w:pPr>
            <w:r/>
            <w:r>
              <w:rPr>
                <w:rFonts w:ascii="Times New Roman" w:hAnsi="Times New Roman"/>
                <w:b w:val="0"/>
                <w:color w:val="000000"/>
                <w:sz w:val="20"/>
              </w:rPr>
              <w:t>Recursos propios del Distrito (SGP)</w:t>
            </w:r>
          </w:p>
        </w:tc>
        <w:tc>
          <w:tcPr>
            <w:tcW w:type="dxa" w:w="6236"/>
            <w:vAlign w:val="center"/>
          </w:tcPr>
          <w:p>
            <w:pPr>
              <w:jc w:val="left"/>
            </w:pPr>
            <w:r/>
            <w:r>
              <w:rPr>
                <w:rFonts w:ascii="Times New Roman" w:hAnsi="Times New Roman"/>
                <w:b w:val="0"/>
                <w:color w:val="000000"/>
                <w:sz w:val="20"/>
              </w:rPr>
              <w:t>Inclusión en el Marco de Inversión Plurianual de la SED.</w:t>
            </w:r>
          </w:p>
        </w:tc>
      </w:tr>
      <w:tr>
        <w:tc>
          <w:tcPr>
            <w:tcW w:type="dxa" w:w="3118"/>
            <w:vAlign w:val="center"/>
          </w:tcPr>
          <w:p>
            <w:pPr>
              <w:jc w:val="left"/>
            </w:pPr>
            <w:r/>
            <w:r>
              <w:rPr>
                <w:rFonts w:ascii="Times New Roman" w:hAnsi="Times New Roman"/>
                <w:b w:val="0"/>
                <w:color w:val="000000"/>
                <w:sz w:val="20"/>
              </w:rPr>
              <w:t>FFIE — Fondo de Financiamiento MEN</w:t>
            </w:r>
          </w:p>
        </w:tc>
        <w:tc>
          <w:tcPr>
            <w:tcW w:type="dxa" w:w="6236"/>
            <w:vAlign w:val="center"/>
          </w:tcPr>
          <w:p>
            <w:pPr>
              <w:jc w:val="left"/>
            </w:pPr>
            <w:r/>
            <w:r>
              <w:rPr>
                <w:rFonts w:ascii="Times New Roman" w:hAnsi="Times New Roman"/>
                <w:b w:val="0"/>
                <w:color w:val="000000"/>
                <w:sz w:val="20"/>
              </w:rPr>
              <w:t>Gestión de proyectos ante el MEN (Resolución 21534 de 2017).</w:t>
            </w:r>
          </w:p>
        </w:tc>
      </w:tr>
      <w:tr>
        <w:tc>
          <w:tcPr>
            <w:tcW w:type="dxa" w:w="3118"/>
            <w:vAlign w:val="center"/>
          </w:tcPr>
          <w:p>
            <w:pPr>
              <w:jc w:val="left"/>
            </w:pPr>
            <w:r/>
            <w:r>
              <w:rPr>
                <w:rFonts w:ascii="Times New Roman" w:hAnsi="Times New Roman"/>
                <w:b w:val="0"/>
                <w:color w:val="000000"/>
                <w:sz w:val="20"/>
              </w:rPr>
              <w:t>Banco de Proyectos Nacional</w:t>
            </w:r>
          </w:p>
        </w:tc>
        <w:tc>
          <w:tcPr>
            <w:tcW w:type="dxa" w:w="6236"/>
            <w:vAlign w:val="center"/>
          </w:tcPr>
          <w:p>
            <w:pPr>
              <w:jc w:val="left"/>
            </w:pPr>
            <w:r/>
            <w:r>
              <w:rPr>
                <w:rFonts w:ascii="Times New Roman" w:hAnsi="Times New Roman"/>
                <w:b w:val="0"/>
                <w:color w:val="000000"/>
                <w:sz w:val="20"/>
              </w:rPr>
              <w:t>Formulación BPIN — articulación con el DNP.</w:t>
            </w:r>
          </w:p>
        </w:tc>
      </w:tr>
      <w:tr>
        <w:tc>
          <w:tcPr>
            <w:tcW w:type="dxa" w:w="3118"/>
            <w:vAlign w:val="center"/>
          </w:tcPr>
          <w:p>
            <w:pPr>
              <w:jc w:val="left"/>
            </w:pPr>
            <w:r/>
            <w:r>
              <w:rPr>
                <w:rFonts w:ascii="Times New Roman" w:hAnsi="Times New Roman"/>
                <w:b w:val="0"/>
                <w:color w:val="000000"/>
                <w:sz w:val="20"/>
              </w:rPr>
              <w:t>Cooperación internacional</w:t>
            </w:r>
          </w:p>
        </w:tc>
        <w:tc>
          <w:tcPr>
            <w:tcW w:type="dxa" w:w="6236"/>
            <w:vAlign w:val="center"/>
          </w:tcPr>
          <w:p>
            <w:pPr>
              <w:jc w:val="left"/>
            </w:pPr>
            <w:r/>
            <w:r>
              <w:rPr>
                <w:rFonts w:ascii="Times New Roman" w:hAnsi="Times New Roman"/>
                <w:b w:val="0"/>
                <w:color w:val="000000"/>
                <w:sz w:val="20"/>
              </w:rPr>
              <w:t>BID, Banco Mundial, GIZ, USAID, AECID — préstamos o cooperación.</w:t>
            </w:r>
          </w:p>
        </w:tc>
      </w:tr>
      <w:tr>
        <w:tc>
          <w:tcPr>
            <w:tcW w:type="dxa" w:w="3118"/>
            <w:vAlign w:val="center"/>
          </w:tcPr>
          <w:p>
            <w:pPr>
              <w:jc w:val="left"/>
            </w:pPr>
            <w:r/>
            <w:r>
              <w:rPr>
                <w:rFonts w:ascii="Times New Roman" w:hAnsi="Times New Roman"/>
                <w:b w:val="0"/>
                <w:color w:val="000000"/>
                <w:sz w:val="20"/>
              </w:rPr>
              <w:t>Alianzas Público-Privadas (APP)</w:t>
            </w:r>
          </w:p>
        </w:tc>
        <w:tc>
          <w:tcPr>
            <w:tcW w:type="dxa" w:w="6236"/>
            <w:vAlign w:val="center"/>
          </w:tcPr>
          <w:p>
            <w:pPr>
              <w:jc w:val="left"/>
            </w:pPr>
            <w:r/>
            <w:r>
              <w:rPr>
                <w:rFonts w:ascii="Times New Roman" w:hAnsi="Times New Roman"/>
                <w:b w:val="0"/>
                <w:color w:val="000000"/>
                <w:sz w:val="20"/>
              </w:rPr>
              <w:t>Concesión educativa — Ley 1508 de 2012 — aplicable a P6 (cobertura).</w:t>
            </w:r>
          </w:p>
        </w:tc>
      </w:tr>
      <w:tr>
        <w:tc>
          <w:tcPr>
            <w:tcW w:type="dxa" w:w="3118"/>
            <w:vAlign w:val="center"/>
          </w:tcPr>
          <w:p>
            <w:pPr>
              <w:jc w:val="left"/>
            </w:pPr>
            <w:r/>
            <w:r>
              <w:rPr>
                <w:rFonts w:ascii="Times New Roman" w:hAnsi="Times New Roman"/>
                <w:b w:val="0"/>
                <w:color w:val="000000"/>
                <w:sz w:val="20"/>
              </w:rPr>
              <w:t>Sobretasa a la gasolina / Estampillas</w:t>
            </w:r>
          </w:p>
        </w:tc>
        <w:tc>
          <w:tcPr>
            <w:tcW w:type="dxa" w:w="6236"/>
            <w:vAlign w:val="center"/>
          </w:tcPr>
          <w:p>
            <w:pPr>
              <w:jc w:val="left"/>
            </w:pPr>
            <w:r/>
            <w:r>
              <w:rPr>
                <w:rFonts w:ascii="Times New Roman" w:hAnsi="Times New Roman"/>
                <w:b w:val="0"/>
                <w:color w:val="000000"/>
                <w:sz w:val="20"/>
              </w:rPr>
              <w:t>Inversión territorial específica del Distrito.</w:t>
            </w:r>
          </w:p>
        </w:tc>
      </w:tr>
      <w:tr>
        <w:tc>
          <w:tcPr>
            <w:tcW w:type="dxa" w:w="3118"/>
            <w:vAlign w:val="center"/>
          </w:tcPr>
          <w:p>
            <w:pPr>
              <w:jc w:val="left"/>
            </w:pPr>
            <w:r/>
            <w:r>
              <w:rPr>
                <w:rFonts w:ascii="Times New Roman" w:hAnsi="Times New Roman"/>
                <w:b w:val="0"/>
                <w:color w:val="000000"/>
                <w:sz w:val="20"/>
              </w:rPr>
              <w:t>Fondo Adaptación / Riesgo Sísmico</w:t>
            </w:r>
          </w:p>
        </w:tc>
        <w:tc>
          <w:tcPr>
            <w:tcW w:type="dxa" w:w="6236"/>
            <w:vAlign w:val="center"/>
          </w:tcPr>
          <w:p>
            <w:pPr>
              <w:jc w:val="left"/>
            </w:pPr>
            <w:r/>
            <w:r>
              <w:rPr>
                <w:rFonts w:ascii="Times New Roman" w:hAnsi="Times New Roman"/>
                <w:b w:val="0"/>
                <w:color w:val="000000"/>
                <w:sz w:val="20"/>
              </w:rPr>
              <w:t>Recursos nacionales para refuerzo NSR-10 — Ley 1523 de 2012.</w:t>
            </w:r>
          </w:p>
        </w:tc>
      </w:tr>
    </w:tbl>
    <w:p>
      <w:pPr>
        <w:pStyle w:val="Heading2"/>
      </w:pPr>
      <w:r>
        <w:t>8.5 Quintiles de eficiencia</w:t>
      </w:r>
    </w:p>
    <w:p>
      <w:pPr>
        <w:jc w:val="both"/>
      </w:pPr>
      <w:r>
        <w:rPr>
          <w:rFonts w:ascii="Times New Roman" w:hAnsi="Times New Roman"/>
          <w:b w:val="0"/>
          <w:i/>
          <w:color w:val="0F4761"/>
          <w:sz w:val="20"/>
        </w:rPr>
        <w:t>Tabla 23. Quintiles de eficiencia BC por estudiante (sedes con matrícula).</w:t>
      </w:r>
    </w:p>
    <w:p>
      <w:pPr>
        <w:jc w:val="center"/>
      </w:pPr>
      <w:r>
        <w:rPr>
          <w:rFonts w:ascii="Times New Roman" w:hAnsi="Times New Roman"/>
          <w:b/>
          <w:color w:val="0F4761"/>
          <w:sz w:val="20"/>
        </w:rPr>
        <w:t>Figura 9. Quintiles de eficiencia: BC por estudiante.</w:t>
      </w:r>
    </w:p>
    <w:p>
      <w:pPr>
        <w:jc w:val="center"/>
      </w:pPr>
      <w:r>
        <w:drawing>
          <wp:inline xmlns:a="http://schemas.openxmlformats.org/drawingml/2006/main" xmlns:pic="http://schemas.openxmlformats.org/drawingml/2006/picture">
            <wp:extent cx="5400000" cy="2937340"/>
            <wp:docPr id="8" name="Picture 8"/>
            <wp:cNvGraphicFramePr>
              <a:graphicFrameLocks noChangeAspect="1"/>
            </wp:cNvGraphicFramePr>
            <a:graphic>
              <a:graphicData uri="http://schemas.openxmlformats.org/drawingml/2006/picture">
                <pic:pic>
                  <pic:nvPicPr>
                    <pic:cNvPr id="0" name="G7_quintiles.png"/>
                    <pic:cNvPicPr/>
                  </pic:nvPicPr>
                  <pic:blipFill>
                    <a:blip r:embed="rId16"/>
                    <a:stretch>
                      <a:fillRect/>
                    </a:stretch>
                  </pic:blipFill>
                  <pic:spPr>
                    <a:xfrm>
                      <a:off x="0" y="0"/>
                      <a:ext cx="5400000" cy="2937340"/>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Los quintiles de eficiencia clasifican las 293 sedes con matrícula según la relación Brecha Consolidada / Matrícula, en 5 grupos de ~59 sedes cada uno. El Q1 (BC/Mat = $11,8 MM por estudiante) agrupa sedes operativa y financieramente eficientes — su inversión genera el mayor impacto por peso invertido y son candidatas naturales a intervención directa (P3 o P4). El Q5 ($36,38 MM por estudiante) agrupa sedes con costo por beneficiario significativamente superior — comunidades educativas pequeñas o de difícil acceso, donde el árbol frecuentemente recomienda reposición (P8) o redistribución (P5/P6). Este criterio es el primer nodo del árbol de decisión (N1) y permite jerarquizar las inversiones desde un enfoque de costo-efectividad.</w:t>
      </w:r>
    </w:p>
    <w:p>
      <w:r>
        <w:rPr>
          <w:rFonts w:ascii="Times New Roman" w:hAnsi="Times New Roman"/>
          <w:b/>
          <w:color w:val="0F4761"/>
          <w:sz w:val="20"/>
        </w:rPr>
        <w:t>Indicadores clave:</w:t>
      </w:r>
    </w:p>
    <w:p>
      <w:pPr>
        <w:pStyle w:val="ListBullet"/>
      </w:pPr>
      <w:r>
        <w:rPr>
          <w:rFonts w:ascii="Times New Roman" w:hAnsi="Times New Roman"/>
          <w:sz w:val="20"/>
        </w:rPr>
        <w:t>Q1: $11,8 MM COP/estudiante (mayor eficiencia)</w:t>
      </w:r>
    </w:p>
    <w:p>
      <w:pPr>
        <w:pStyle w:val="ListBullet"/>
      </w:pPr>
      <w:r>
        <w:rPr>
          <w:rFonts w:ascii="Times New Roman" w:hAnsi="Times New Roman"/>
          <w:sz w:val="20"/>
        </w:rPr>
        <w:t>Q5: $36,4 MM COP/estudiante (3,1× la eficiencia del Q1)</w:t>
      </w:r>
    </w:p>
    <w:p>
      <w:pPr>
        <w:pStyle w:val="ListBullet"/>
      </w:pPr>
      <w:r>
        <w:rPr>
          <w:rFonts w:ascii="Times New Roman" w:hAnsi="Times New Roman"/>
          <w:sz w:val="20"/>
        </w:rPr>
        <w:t>Q-Corte configurable: por defecto Q2 (umbral $17,56 MM/est.)</w:t>
      </w:r>
    </w:p>
    <w:tbl>
      <w:tblPr>
        <w:tblStyle w:val="LightGrid-Accent1"/>
        <w:tblW w:type="auto" w:w="0"/>
        <w:tblLook w:firstColumn="1" w:firstRow="1" w:lastColumn="0" w:lastRow="0" w:noHBand="0" w:noVBand="1" w:val="04A0"/>
      </w:tblPr>
      <w:tblGrid>
        <w:gridCol w:w="1520"/>
        <w:gridCol w:w="1520"/>
        <w:gridCol w:w="1520"/>
        <w:gridCol w:w="1520"/>
        <w:gridCol w:w="1520"/>
        <w:gridCol w:w="1520"/>
      </w:tblGrid>
      <w:tr>
        <w:tc>
          <w:tcPr>
            <w:tcW w:type="dxa" w:w="1984"/>
            <w:shd w:val="clear" w:color="auto" w:fill="0F4761"/>
            <w:vAlign w:val="center"/>
          </w:tcPr>
          <w:p>
            <w:pPr>
              <w:jc w:val="center"/>
            </w:pPr>
            <w:r/>
            <w:r>
              <w:rPr>
                <w:rFonts w:ascii="Times New Roman" w:hAnsi="Times New Roman"/>
                <w:b/>
                <w:color w:val="FFFFFF"/>
                <w:sz w:val="20"/>
              </w:rPr>
              <w:t>Quintil</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c>
          <w:tcPr>
            <w:tcW w:type="dxa" w:w="1701"/>
            <w:shd w:val="clear" w:color="auto" w:fill="0F4761"/>
            <w:vAlign w:val="center"/>
          </w:tcPr>
          <w:p>
            <w:pPr>
              <w:jc w:val="center"/>
            </w:pPr>
            <w:r/>
            <w:r>
              <w:rPr>
                <w:rFonts w:ascii="Times New Roman" w:hAnsi="Times New Roman"/>
                <w:b/>
                <w:color w:val="FFFFFF"/>
                <w:sz w:val="20"/>
              </w:rPr>
              <w:t>BC (MM COP)</w:t>
            </w:r>
          </w:p>
        </w:tc>
        <w:tc>
          <w:tcPr>
            <w:tcW w:type="dxa" w:w="1701"/>
            <w:shd w:val="clear" w:color="auto" w:fill="0F4761"/>
            <w:vAlign w:val="center"/>
          </w:tcPr>
          <w:p>
            <w:pPr>
              <w:jc w:val="center"/>
            </w:pPr>
            <w:r/>
            <w:r>
              <w:rPr>
                <w:rFonts w:ascii="Times New Roman" w:hAnsi="Times New Roman"/>
                <w:b/>
                <w:color w:val="FFFFFF"/>
                <w:sz w:val="20"/>
              </w:rPr>
              <w:t>BC/Mat (MM/est)</w:t>
            </w:r>
          </w:p>
        </w:tc>
        <w:tc>
          <w:tcPr>
            <w:tcW w:type="dxa" w:w="1417"/>
            <w:shd w:val="clear" w:color="auto" w:fill="0F4761"/>
            <w:vAlign w:val="center"/>
          </w:tcPr>
          <w:p>
            <w:pPr>
              <w:jc w:val="center"/>
            </w:pPr>
            <w:r/>
            <w:r>
              <w:rPr>
                <w:rFonts w:ascii="Times New Roman" w:hAnsi="Times New Roman"/>
                <w:b/>
                <w:color w:val="FFFFFF"/>
                <w:sz w:val="20"/>
              </w:rPr>
              <w:t>Estrategia</w:t>
            </w:r>
          </w:p>
        </w:tc>
      </w:tr>
      <w:tr>
        <w:tc>
          <w:tcPr>
            <w:tcW w:type="dxa" w:w="1984"/>
            <w:vAlign w:val="center"/>
          </w:tcPr>
          <w:p>
            <w:pPr>
              <w:jc w:val="left"/>
            </w:pPr>
            <w:r/>
            <w:r>
              <w:rPr>
                <w:rFonts w:ascii="Times New Roman" w:hAnsi="Times New Roman"/>
                <w:b w:val="0"/>
                <w:color w:val="000000"/>
                <w:sz w:val="20"/>
              </w:rPr>
              <w:t>Q1 — Mayor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12.950</w:t>
            </w:r>
          </w:p>
        </w:tc>
        <w:tc>
          <w:tcPr>
            <w:tcW w:type="dxa" w:w="1701"/>
            <w:vAlign w:val="center"/>
          </w:tcPr>
          <w:p>
            <w:pPr>
              <w:jc w:val="right"/>
            </w:pPr>
            <w:r/>
            <w:r>
              <w:rPr>
                <w:rFonts w:ascii="Times New Roman" w:hAnsi="Times New Roman"/>
                <w:b w:val="0"/>
                <w:color w:val="000000"/>
                <w:sz w:val="20"/>
              </w:rPr>
              <w:t>152.801</w:t>
            </w:r>
          </w:p>
        </w:tc>
        <w:tc>
          <w:tcPr>
            <w:tcW w:type="dxa" w:w="1701"/>
            <w:vAlign w:val="center"/>
          </w:tcPr>
          <w:p>
            <w:pPr>
              <w:jc w:val="right"/>
            </w:pPr>
            <w:r/>
            <w:r>
              <w:rPr>
                <w:rFonts w:ascii="Times New Roman" w:hAnsi="Times New Roman"/>
                <w:b w:val="0"/>
                <w:color w:val="000000"/>
                <w:sz w:val="20"/>
              </w:rPr>
              <w:t>11,80</w:t>
            </w:r>
          </w:p>
        </w:tc>
        <w:tc>
          <w:tcPr>
            <w:tcW w:type="dxa" w:w="1417"/>
            <w:vAlign w:val="center"/>
          </w:tcPr>
          <w:p>
            <w:pPr>
              <w:jc w:val="left"/>
            </w:pPr>
            <w:r/>
            <w:r>
              <w:rPr>
                <w:rFonts w:ascii="Times New Roman" w:hAnsi="Times New Roman"/>
                <w:b w:val="0"/>
                <w:color w:val="000000"/>
                <w:sz w:val="20"/>
              </w:rPr>
              <w:t>Intervención directa · prioridad alta.</w:t>
            </w:r>
          </w:p>
        </w:tc>
      </w:tr>
      <w:tr>
        <w:tc>
          <w:tcPr>
            <w:tcW w:type="dxa" w:w="1984"/>
            <w:vAlign w:val="center"/>
          </w:tcPr>
          <w:p>
            <w:pPr>
              <w:jc w:val="left"/>
            </w:pPr>
            <w:r/>
            <w:r>
              <w:rPr>
                <w:rFonts w:ascii="Times New Roman" w:hAnsi="Times New Roman"/>
                <w:b w:val="0"/>
                <w:color w:val="000000"/>
                <w:sz w:val="20"/>
              </w:rPr>
              <w:t>Q2 — Buena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24.407</w:t>
            </w:r>
          </w:p>
        </w:tc>
        <w:tc>
          <w:tcPr>
            <w:tcW w:type="dxa" w:w="1701"/>
            <w:vAlign w:val="center"/>
          </w:tcPr>
          <w:p>
            <w:pPr>
              <w:jc w:val="right"/>
            </w:pPr>
            <w:r/>
            <w:r>
              <w:rPr>
                <w:rFonts w:ascii="Times New Roman" w:hAnsi="Times New Roman"/>
                <w:b w:val="0"/>
                <w:color w:val="000000"/>
                <w:sz w:val="20"/>
              </w:rPr>
              <w:t>428.697</w:t>
            </w:r>
          </w:p>
        </w:tc>
        <w:tc>
          <w:tcPr>
            <w:tcW w:type="dxa" w:w="1701"/>
            <w:vAlign w:val="center"/>
          </w:tcPr>
          <w:p>
            <w:pPr>
              <w:jc w:val="right"/>
            </w:pPr>
            <w:r/>
            <w:r>
              <w:rPr>
                <w:rFonts w:ascii="Times New Roman" w:hAnsi="Times New Roman"/>
                <w:b w:val="0"/>
                <w:color w:val="000000"/>
                <w:sz w:val="20"/>
              </w:rPr>
              <w:t>17,56</w:t>
            </w:r>
          </w:p>
        </w:tc>
        <w:tc>
          <w:tcPr>
            <w:tcW w:type="dxa" w:w="1417"/>
            <w:vAlign w:val="center"/>
          </w:tcPr>
          <w:p>
            <w:pPr>
              <w:jc w:val="left"/>
            </w:pPr>
            <w:r/>
            <w:r>
              <w:rPr>
                <w:rFonts w:ascii="Times New Roman" w:hAnsi="Times New Roman"/>
                <w:b w:val="0"/>
                <w:color w:val="000000"/>
                <w:sz w:val="20"/>
              </w:rPr>
              <w:t>Intervención directa · justificada.</w:t>
            </w:r>
          </w:p>
        </w:tc>
      </w:tr>
      <w:tr>
        <w:tc>
          <w:tcPr>
            <w:tcW w:type="dxa" w:w="1984"/>
            <w:vAlign w:val="center"/>
          </w:tcPr>
          <w:p>
            <w:pPr>
              <w:jc w:val="left"/>
            </w:pPr>
            <w:r/>
            <w:r>
              <w:rPr>
                <w:rFonts w:ascii="Times New Roman" w:hAnsi="Times New Roman"/>
                <w:b w:val="0"/>
                <w:color w:val="000000"/>
                <w:sz w:val="20"/>
              </w:rPr>
              <w:t>Q3 — Moderada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21.110</w:t>
            </w:r>
          </w:p>
        </w:tc>
        <w:tc>
          <w:tcPr>
            <w:tcW w:type="dxa" w:w="1701"/>
            <w:vAlign w:val="center"/>
          </w:tcPr>
          <w:p>
            <w:pPr>
              <w:jc w:val="right"/>
            </w:pPr>
            <w:r/>
            <w:r>
              <w:rPr>
                <w:rFonts w:ascii="Times New Roman" w:hAnsi="Times New Roman"/>
                <w:b w:val="0"/>
                <w:color w:val="000000"/>
                <w:sz w:val="20"/>
              </w:rPr>
              <w:t>463.913</w:t>
            </w:r>
          </w:p>
        </w:tc>
        <w:tc>
          <w:tcPr>
            <w:tcW w:type="dxa" w:w="1701"/>
            <w:vAlign w:val="center"/>
          </w:tcPr>
          <w:p>
            <w:pPr>
              <w:jc w:val="right"/>
            </w:pPr>
            <w:r/>
            <w:r>
              <w:rPr>
                <w:rFonts w:ascii="Times New Roman" w:hAnsi="Times New Roman"/>
                <w:b w:val="0"/>
                <w:color w:val="000000"/>
                <w:sz w:val="20"/>
              </w:rPr>
              <w:t>21,98</w:t>
            </w:r>
          </w:p>
        </w:tc>
        <w:tc>
          <w:tcPr>
            <w:tcW w:type="dxa" w:w="1417"/>
            <w:vAlign w:val="center"/>
          </w:tcPr>
          <w:p>
            <w:pPr>
              <w:jc w:val="left"/>
            </w:pPr>
            <w:r/>
            <w:r>
              <w:rPr>
                <w:rFonts w:ascii="Times New Roman" w:hAnsi="Times New Roman"/>
                <w:b w:val="0"/>
                <w:color w:val="000000"/>
                <w:sz w:val="20"/>
              </w:rPr>
              <w:t>Evaluar BC/VR para definir reposición.</w:t>
            </w:r>
          </w:p>
        </w:tc>
      </w:tr>
      <w:tr>
        <w:tc>
          <w:tcPr>
            <w:tcW w:type="dxa" w:w="1984"/>
            <w:vAlign w:val="center"/>
          </w:tcPr>
          <w:p>
            <w:pPr>
              <w:jc w:val="left"/>
            </w:pPr>
            <w:r/>
            <w:r>
              <w:rPr>
                <w:rFonts w:ascii="Times New Roman" w:hAnsi="Times New Roman"/>
                <w:b w:val="0"/>
                <w:color w:val="000000"/>
                <w:sz w:val="20"/>
              </w:rPr>
              <w:t>Q4 — Baja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28.785</w:t>
            </w:r>
          </w:p>
        </w:tc>
        <w:tc>
          <w:tcPr>
            <w:tcW w:type="dxa" w:w="1701"/>
            <w:vAlign w:val="center"/>
          </w:tcPr>
          <w:p>
            <w:pPr>
              <w:jc w:val="right"/>
            </w:pPr>
            <w:r/>
            <w:r>
              <w:rPr>
                <w:rFonts w:ascii="Times New Roman" w:hAnsi="Times New Roman"/>
                <w:b w:val="0"/>
                <w:color w:val="000000"/>
                <w:sz w:val="20"/>
              </w:rPr>
              <w:t>771.363</w:t>
            </w:r>
          </w:p>
        </w:tc>
        <w:tc>
          <w:tcPr>
            <w:tcW w:type="dxa" w:w="1701"/>
            <w:vAlign w:val="center"/>
          </w:tcPr>
          <w:p>
            <w:pPr>
              <w:jc w:val="right"/>
            </w:pPr>
            <w:r/>
            <w:r>
              <w:rPr>
                <w:rFonts w:ascii="Times New Roman" w:hAnsi="Times New Roman"/>
                <w:b w:val="0"/>
                <w:color w:val="000000"/>
                <w:sz w:val="20"/>
              </w:rPr>
              <w:t>26,80</w:t>
            </w:r>
          </w:p>
        </w:tc>
        <w:tc>
          <w:tcPr>
            <w:tcW w:type="dxa" w:w="1417"/>
            <w:vAlign w:val="center"/>
          </w:tcPr>
          <w:p>
            <w:pPr>
              <w:jc w:val="left"/>
            </w:pPr>
            <w:r/>
            <w:r>
              <w:rPr>
                <w:rFonts w:ascii="Times New Roman" w:hAnsi="Times New Roman"/>
                <w:b w:val="0"/>
                <w:color w:val="000000"/>
                <w:sz w:val="20"/>
              </w:rPr>
              <w:t>Alta probabilidad reconstrucción o redistribución.</w:t>
            </w:r>
          </w:p>
        </w:tc>
      </w:tr>
      <w:tr>
        <w:tc>
          <w:tcPr>
            <w:tcW w:type="dxa" w:w="1984"/>
            <w:vAlign w:val="center"/>
          </w:tcPr>
          <w:p>
            <w:pPr>
              <w:jc w:val="left"/>
            </w:pPr>
            <w:r/>
            <w:r>
              <w:rPr>
                <w:rFonts w:ascii="Times New Roman" w:hAnsi="Times New Roman"/>
                <w:b w:val="0"/>
                <w:color w:val="000000"/>
                <w:sz w:val="20"/>
              </w:rPr>
              <w:t>Q5 — Eficiencia mínima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25.834</w:t>
            </w:r>
          </w:p>
        </w:tc>
        <w:tc>
          <w:tcPr>
            <w:tcW w:type="dxa" w:w="1701"/>
            <w:vAlign w:val="center"/>
          </w:tcPr>
          <w:p>
            <w:pPr>
              <w:jc w:val="right"/>
            </w:pPr>
            <w:r/>
            <w:r>
              <w:rPr>
                <w:rFonts w:ascii="Times New Roman" w:hAnsi="Times New Roman"/>
                <w:b w:val="0"/>
                <w:color w:val="000000"/>
                <w:sz w:val="20"/>
              </w:rPr>
              <w:t>939.951</w:t>
            </w:r>
          </w:p>
        </w:tc>
        <w:tc>
          <w:tcPr>
            <w:tcW w:type="dxa" w:w="1701"/>
            <w:vAlign w:val="center"/>
          </w:tcPr>
          <w:p>
            <w:pPr>
              <w:jc w:val="right"/>
            </w:pPr>
            <w:r/>
            <w:r>
              <w:rPr>
                <w:rFonts w:ascii="Times New Roman" w:hAnsi="Times New Roman"/>
                <w:b w:val="0"/>
                <w:color w:val="000000"/>
                <w:sz w:val="20"/>
              </w:rPr>
              <w:t>36,38</w:t>
            </w:r>
          </w:p>
        </w:tc>
        <w:tc>
          <w:tcPr>
            <w:tcW w:type="dxa" w:w="1417"/>
            <w:vAlign w:val="center"/>
          </w:tcPr>
          <w:p>
            <w:pPr>
              <w:jc w:val="left"/>
            </w:pPr>
            <w:r/>
            <w:r>
              <w:rPr>
                <w:rFonts w:ascii="Times New Roman" w:hAnsi="Times New Roman"/>
                <w:b w:val="0"/>
                <w:color w:val="000000"/>
                <w:sz w:val="20"/>
              </w:rPr>
              <w:t>Probable cierre o reposición + redistribución.</w:t>
            </w:r>
          </w:p>
        </w:tc>
      </w:tr>
    </w:tbl>
    <w:p>
      <w:pPr>
        <w:pStyle w:val="Heading1"/>
      </w:pPr>
      <w:r>
        <w:t>9. Plan Indicativo PMIE 2026</w:t>
      </w:r>
    </w:p>
    <w:p>
      <w:pPr>
        <w:jc w:val="both"/>
      </w:pPr>
      <w:r>
        <w:rPr>
          <w:rFonts w:ascii="Times New Roman" w:hAnsi="Times New Roman"/>
          <w:b w:val="0"/>
          <w:i/>
          <w:color w:val="0F4761"/>
          <w:sz w:val="20"/>
        </w:rPr>
        <w:t>Tabla 24. Plan Indicativo — metas e indicadores principales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Meta</w:t>
            </w:r>
          </w:p>
        </w:tc>
        <w:tc>
          <w:tcPr>
            <w:tcW w:type="dxa" w:w="2551"/>
            <w:shd w:val="clear" w:color="auto" w:fill="0F4761"/>
            <w:vAlign w:val="center"/>
          </w:tcPr>
          <w:p>
            <w:pPr>
              <w:jc w:val="center"/>
            </w:pPr>
            <w:r/>
            <w:r>
              <w:rPr>
                <w:rFonts w:ascii="Times New Roman" w:hAnsi="Times New Roman"/>
                <w:b/>
                <w:color w:val="FFFFFF"/>
                <w:sz w:val="20"/>
              </w:rPr>
              <w:t>Indicador</w:t>
            </w:r>
          </w:p>
        </w:tc>
        <w:tc>
          <w:tcPr>
            <w:tcW w:type="dxa" w:w="1417"/>
            <w:shd w:val="clear" w:color="auto" w:fill="0F4761"/>
            <w:vAlign w:val="center"/>
          </w:tcPr>
          <w:p>
            <w:pPr>
              <w:jc w:val="center"/>
            </w:pPr>
            <w:r/>
            <w:r>
              <w:rPr>
                <w:rFonts w:ascii="Times New Roman" w:hAnsi="Times New Roman"/>
                <w:b/>
                <w:color w:val="FFFFFF"/>
                <w:sz w:val="20"/>
              </w:rPr>
              <w:t>Línea base 2025</w:t>
            </w:r>
          </w:p>
        </w:tc>
        <w:tc>
          <w:tcPr>
            <w:tcW w:type="dxa" w:w="1134"/>
            <w:shd w:val="clear" w:color="auto" w:fill="0F4761"/>
            <w:vAlign w:val="center"/>
          </w:tcPr>
          <w:p>
            <w:pPr>
              <w:jc w:val="center"/>
            </w:pPr>
            <w:r/>
            <w:r>
              <w:rPr>
                <w:rFonts w:ascii="Times New Roman" w:hAnsi="Times New Roman"/>
                <w:b/>
                <w:color w:val="FFFFFF"/>
                <w:sz w:val="20"/>
              </w:rPr>
              <w:t>Meta 2030</w:t>
            </w:r>
          </w:p>
        </w:tc>
        <w:tc>
          <w:tcPr>
            <w:tcW w:type="dxa" w:w="1417"/>
            <w:shd w:val="clear" w:color="auto" w:fill="0F4761"/>
            <w:vAlign w:val="center"/>
          </w:tcPr>
          <w:p>
            <w:pPr>
              <w:jc w:val="center"/>
            </w:pPr>
            <w:r/>
            <w:r>
              <w:rPr>
                <w:rFonts w:ascii="Times New Roman" w:hAnsi="Times New Roman"/>
                <w:b/>
                <w:color w:val="FFFFFF"/>
                <w:sz w:val="20"/>
              </w:rPr>
              <w:t>Meta 2039</w:t>
            </w:r>
          </w:p>
        </w:tc>
      </w:tr>
      <w:tr>
        <w:tc>
          <w:tcPr>
            <w:tcW w:type="dxa" w:w="2551"/>
            <w:vAlign w:val="center"/>
          </w:tcPr>
          <w:p>
            <w:pPr>
              <w:jc w:val="left"/>
            </w:pPr>
            <w:r/>
            <w:r>
              <w:rPr>
                <w:rFonts w:ascii="Times New Roman" w:hAnsi="Times New Roman"/>
                <w:b w:val="0"/>
                <w:color w:val="000000"/>
                <w:sz w:val="20"/>
              </w:rPr>
              <w:t>Reducción riesgo sísmico</w:t>
            </w:r>
          </w:p>
        </w:tc>
        <w:tc>
          <w:tcPr>
            <w:tcW w:type="dxa" w:w="2551"/>
            <w:vAlign w:val="center"/>
          </w:tcPr>
          <w:p>
            <w:pPr>
              <w:jc w:val="left"/>
            </w:pPr>
            <w:r/>
            <w:r>
              <w:rPr>
                <w:rFonts w:ascii="Times New Roman" w:hAnsi="Times New Roman"/>
                <w:b w:val="0"/>
                <w:color w:val="000000"/>
                <w:sz w:val="20"/>
              </w:rPr>
              <w:t>% sedes con riesgo NSR-10 alto</w:t>
            </w:r>
          </w:p>
        </w:tc>
        <w:tc>
          <w:tcPr>
            <w:tcW w:type="dxa" w:w="1417"/>
            <w:vAlign w:val="center"/>
          </w:tcPr>
          <w:p>
            <w:pPr>
              <w:jc w:val="right"/>
            </w:pPr>
            <w:r/>
            <w:r>
              <w:rPr>
                <w:rFonts w:ascii="Times New Roman" w:hAnsi="Times New Roman"/>
                <w:b w:val="0"/>
                <w:color w:val="000000"/>
                <w:sz w:val="20"/>
              </w:rPr>
              <w:t>55,4%</w:t>
            </w:r>
          </w:p>
        </w:tc>
        <w:tc>
          <w:tcPr>
            <w:tcW w:type="dxa" w:w="1134"/>
            <w:vAlign w:val="center"/>
          </w:tcPr>
          <w:p>
            <w:pPr>
              <w:jc w:val="right"/>
            </w:pPr>
            <w:r/>
            <w:r>
              <w:rPr>
                <w:rFonts w:ascii="Times New Roman" w:hAnsi="Times New Roman"/>
                <w:b w:val="0"/>
                <w:color w:val="000000"/>
                <w:sz w:val="20"/>
              </w:rPr>
              <w:t>30%</w:t>
            </w:r>
          </w:p>
        </w:tc>
        <w:tc>
          <w:tcPr>
            <w:tcW w:type="dxa" w:w="1417"/>
            <w:vAlign w:val="center"/>
          </w:tcPr>
          <w:p>
            <w:pPr>
              <w:jc w:val="left"/>
            </w:pPr>
            <w:r/>
            <w:r>
              <w:rPr>
                <w:rFonts w:ascii="Times New Roman" w:hAnsi="Times New Roman"/>
                <w:b w:val="0"/>
                <w:color w:val="000000"/>
                <w:sz w:val="20"/>
              </w:rPr>
              <w:t>&lt;10%</w:t>
            </w:r>
          </w:p>
        </w:tc>
      </w:tr>
      <w:tr>
        <w:tc>
          <w:tcPr>
            <w:tcW w:type="dxa" w:w="2551"/>
            <w:vAlign w:val="center"/>
          </w:tcPr>
          <w:p>
            <w:pPr>
              <w:jc w:val="left"/>
            </w:pPr>
            <w:r/>
            <w:r>
              <w:rPr>
                <w:rFonts w:ascii="Times New Roman" w:hAnsi="Times New Roman"/>
                <w:b w:val="0"/>
                <w:color w:val="000000"/>
                <w:sz w:val="20"/>
              </w:rPr>
              <w:t>Cumplimiento NTC 4595</w:t>
            </w:r>
          </w:p>
        </w:tc>
        <w:tc>
          <w:tcPr>
            <w:tcW w:type="dxa" w:w="2551"/>
            <w:vAlign w:val="center"/>
          </w:tcPr>
          <w:p>
            <w:pPr>
              <w:jc w:val="left"/>
            </w:pPr>
            <w:r/>
            <w:r>
              <w:rPr>
                <w:rFonts w:ascii="Times New Roman" w:hAnsi="Times New Roman"/>
                <w:b w:val="0"/>
                <w:color w:val="000000"/>
                <w:sz w:val="20"/>
              </w:rPr>
              <w:t>Índice promedio NTC 4595</w:t>
            </w:r>
          </w:p>
        </w:tc>
        <w:tc>
          <w:tcPr>
            <w:tcW w:type="dxa" w:w="1417"/>
            <w:vAlign w:val="center"/>
          </w:tcPr>
          <w:p>
            <w:pPr>
              <w:jc w:val="right"/>
            </w:pPr>
            <w:r/>
            <w:r>
              <w:rPr>
                <w:rFonts w:ascii="Times New Roman" w:hAnsi="Times New Roman"/>
                <w:b w:val="0"/>
                <w:color w:val="000000"/>
                <w:sz w:val="20"/>
              </w:rPr>
              <w:t>0,71</w:t>
            </w:r>
          </w:p>
        </w:tc>
        <w:tc>
          <w:tcPr>
            <w:tcW w:type="dxa" w:w="1134"/>
            <w:vAlign w:val="center"/>
          </w:tcPr>
          <w:p>
            <w:pPr>
              <w:jc w:val="right"/>
            </w:pPr>
            <w:r/>
            <w:r>
              <w:rPr>
                <w:rFonts w:ascii="Times New Roman" w:hAnsi="Times New Roman"/>
                <w:b w:val="0"/>
                <w:color w:val="000000"/>
                <w:sz w:val="20"/>
              </w:rPr>
              <w:t>0,80</w:t>
            </w:r>
          </w:p>
        </w:tc>
        <w:tc>
          <w:tcPr>
            <w:tcW w:type="dxa" w:w="1417"/>
            <w:vAlign w:val="center"/>
          </w:tcPr>
          <w:p>
            <w:pPr>
              <w:jc w:val="right"/>
            </w:pPr>
            <w:r/>
            <w:r>
              <w:rPr>
                <w:rFonts w:ascii="Times New Roman" w:hAnsi="Times New Roman"/>
                <w:b w:val="0"/>
                <w:color w:val="000000"/>
                <w:sz w:val="20"/>
              </w:rPr>
              <w:t>0,90</w:t>
            </w:r>
          </w:p>
        </w:tc>
      </w:tr>
      <w:tr>
        <w:tc>
          <w:tcPr>
            <w:tcW w:type="dxa" w:w="2551"/>
            <w:vAlign w:val="center"/>
          </w:tcPr>
          <w:p>
            <w:pPr>
              <w:jc w:val="left"/>
            </w:pPr>
            <w:r/>
            <w:r>
              <w:rPr>
                <w:rFonts w:ascii="Times New Roman" w:hAnsi="Times New Roman"/>
                <w:b w:val="0"/>
                <w:color w:val="000000"/>
                <w:sz w:val="20"/>
              </w:rPr>
              <w:t>Suficiencia área</w:t>
            </w:r>
          </w:p>
        </w:tc>
        <w:tc>
          <w:tcPr>
            <w:tcW w:type="dxa" w:w="2551"/>
            <w:vAlign w:val="center"/>
          </w:tcPr>
          <w:p>
            <w:pPr>
              <w:jc w:val="left"/>
            </w:pPr>
            <w:r/>
            <w:r>
              <w:rPr>
                <w:rFonts w:ascii="Times New Roman" w:hAnsi="Times New Roman"/>
                <w:b w:val="0"/>
                <w:color w:val="000000"/>
                <w:sz w:val="20"/>
              </w:rPr>
              <w:t>m²/estudiante promedio</w:t>
            </w:r>
          </w:p>
        </w:tc>
        <w:tc>
          <w:tcPr>
            <w:tcW w:type="dxa" w:w="1417"/>
            <w:vAlign w:val="center"/>
          </w:tcPr>
          <w:p>
            <w:pPr>
              <w:jc w:val="right"/>
            </w:pPr>
            <w:r/>
            <w:r>
              <w:rPr>
                <w:rFonts w:ascii="Times New Roman" w:hAnsi="Times New Roman"/>
                <w:b w:val="0"/>
                <w:color w:val="000000"/>
                <w:sz w:val="20"/>
              </w:rPr>
              <w:t>2,8</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5,36</w:t>
            </w:r>
          </w:p>
        </w:tc>
      </w:tr>
      <w:tr>
        <w:tc>
          <w:tcPr>
            <w:tcW w:type="dxa" w:w="2551"/>
            <w:vAlign w:val="center"/>
          </w:tcPr>
          <w:p>
            <w:pPr>
              <w:jc w:val="left"/>
            </w:pPr>
            <w:r/>
            <w:r>
              <w:rPr>
                <w:rFonts w:ascii="Times New Roman" w:hAnsi="Times New Roman"/>
                <w:b w:val="0"/>
                <w:color w:val="000000"/>
                <w:sz w:val="20"/>
              </w:rPr>
              <w:t>Cobertura oficial</w:t>
            </w:r>
          </w:p>
        </w:tc>
        <w:tc>
          <w:tcPr>
            <w:tcW w:type="dxa" w:w="2551"/>
            <w:vAlign w:val="center"/>
          </w:tcPr>
          <w:p>
            <w:pPr>
              <w:jc w:val="left"/>
            </w:pPr>
            <w:r/>
            <w:r>
              <w:rPr>
                <w:rFonts w:ascii="Times New Roman" w:hAnsi="Times New Roman"/>
                <w:b w:val="0"/>
                <w:color w:val="000000"/>
                <w:sz w:val="20"/>
              </w:rPr>
              <w:t>Cobertura matrícula NO OFICIAL</w:t>
            </w:r>
          </w:p>
        </w:tc>
        <w:tc>
          <w:tcPr>
            <w:tcW w:type="dxa" w:w="1417"/>
            <w:vAlign w:val="center"/>
          </w:tcPr>
          <w:p>
            <w:pPr>
              <w:jc w:val="right"/>
            </w:pPr>
            <w:r/>
            <w:r>
              <w:rPr>
                <w:rFonts w:ascii="Times New Roman" w:hAnsi="Times New Roman"/>
                <w:b w:val="0"/>
                <w:color w:val="000000"/>
                <w:sz w:val="20"/>
              </w:rPr>
              <w:t>14%</w:t>
            </w:r>
          </w:p>
        </w:tc>
        <w:tc>
          <w:tcPr>
            <w:tcW w:type="dxa" w:w="1134"/>
            <w:vAlign w:val="center"/>
          </w:tcPr>
          <w:p>
            <w:pPr>
              <w:jc w:val="right"/>
            </w:pPr>
            <w:r/>
            <w:r>
              <w:rPr>
                <w:rFonts w:ascii="Times New Roman" w:hAnsi="Times New Roman"/>
                <w:b w:val="0"/>
                <w:color w:val="000000"/>
                <w:sz w:val="20"/>
              </w:rPr>
              <w:t>50%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Sedes intervenidas</w:t>
            </w:r>
          </w:p>
        </w:tc>
        <w:tc>
          <w:tcPr>
            <w:tcW w:type="dxa" w:w="2551"/>
            <w:vAlign w:val="center"/>
          </w:tcPr>
          <w:p>
            <w:pPr>
              <w:jc w:val="left"/>
            </w:pPr>
            <w:r/>
            <w:r>
              <w:rPr>
                <w:rFonts w:ascii="Times New Roman" w:hAnsi="Times New Roman"/>
                <w:b w:val="0"/>
                <w:color w:val="000000"/>
                <w:sz w:val="20"/>
              </w:rPr>
              <w:t>N° de sedes con obra terminada</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120</w:t>
            </w:r>
          </w:p>
        </w:tc>
        <w:tc>
          <w:tcPr>
            <w:tcW w:type="dxa" w:w="1417"/>
            <w:vAlign w:val="center"/>
          </w:tcPr>
          <w:p>
            <w:pPr>
              <w:jc w:val="right"/>
            </w:pPr>
            <w:r/>
            <w:r>
              <w:rPr>
                <w:rFonts w:ascii="Times New Roman" w:hAnsi="Times New Roman"/>
                <w:b w:val="0"/>
                <w:color w:val="000000"/>
                <w:sz w:val="20"/>
              </w:rPr>
              <w:t>293</w:t>
            </w:r>
          </w:p>
        </w:tc>
      </w:tr>
      <w:tr>
        <w:tc>
          <w:tcPr>
            <w:tcW w:type="dxa" w:w="2551"/>
            <w:vAlign w:val="center"/>
          </w:tcPr>
          <w:p>
            <w:pPr>
              <w:jc w:val="left"/>
            </w:pPr>
            <w:r/>
            <w:r>
              <w:rPr>
                <w:rFonts w:ascii="Times New Roman" w:hAnsi="Times New Roman"/>
                <w:b w:val="0"/>
                <w:color w:val="000000"/>
                <w:sz w:val="20"/>
              </w:rPr>
              <w:t>Inversión ejecutada</w:t>
            </w:r>
          </w:p>
        </w:tc>
        <w:tc>
          <w:tcPr>
            <w:tcW w:type="dxa" w:w="2551"/>
            <w:vAlign w:val="center"/>
          </w:tcPr>
          <w:p>
            <w:pPr>
              <w:jc w:val="left"/>
            </w:pPr>
            <w:r/>
            <w:r>
              <w:rPr>
                <w:rFonts w:ascii="Times New Roman" w:hAnsi="Times New Roman"/>
                <w:b w:val="0"/>
                <w:color w:val="000000"/>
                <w:sz w:val="20"/>
              </w:rPr>
              <w:t>% del Plan ejecutado</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Sostenibilidad metodológica</w:t>
            </w:r>
          </w:p>
        </w:tc>
        <w:tc>
          <w:tcPr>
            <w:tcW w:type="dxa" w:w="2551"/>
            <w:vAlign w:val="center"/>
          </w:tcPr>
          <w:p>
            <w:pPr>
              <w:jc w:val="left"/>
            </w:pPr>
            <w:r/>
            <w:r>
              <w:rPr>
                <w:rFonts w:ascii="Times New Roman" w:hAnsi="Times New Roman"/>
                <w:b w:val="0"/>
                <w:color w:val="000000"/>
                <w:sz w:val="20"/>
              </w:rPr>
              <w:t>Actualizaciones trianuales</w:t>
            </w:r>
          </w:p>
        </w:tc>
        <w:tc>
          <w:tcPr>
            <w:tcW w:type="dxa" w:w="1417"/>
            <w:vAlign w:val="center"/>
          </w:tcPr>
          <w:p>
            <w:pPr>
              <w:jc w:val="left"/>
            </w:pPr>
            <w:r/>
            <w:r>
              <w:rPr>
                <w:rFonts w:ascii="Times New Roman" w:hAnsi="Times New Roman"/>
                <w:b w:val="0"/>
                <w:color w:val="000000"/>
                <w:sz w:val="20"/>
              </w:rPr>
              <w:t>No</w:t>
            </w:r>
          </w:p>
        </w:tc>
        <w:tc>
          <w:tcPr>
            <w:tcW w:type="dxa" w:w="1134"/>
            <w:vAlign w:val="center"/>
          </w:tcPr>
          <w:p>
            <w:pPr>
              <w:jc w:val="left"/>
            </w:pPr>
            <w:r/>
            <w:r>
              <w:rPr>
                <w:rFonts w:ascii="Times New Roman" w:hAnsi="Times New Roman"/>
                <w:b w:val="0"/>
                <w:color w:val="000000"/>
                <w:sz w:val="20"/>
              </w:rPr>
              <w:t>Sí (2029)</w:t>
            </w:r>
          </w:p>
        </w:tc>
        <w:tc>
          <w:tcPr>
            <w:tcW w:type="dxa" w:w="1417"/>
            <w:vAlign w:val="center"/>
          </w:tcPr>
          <w:p>
            <w:pPr>
              <w:jc w:val="left"/>
            </w:pPr>
            <w:r/>
            <w:r>
              <w:rPr>
                <w:rFonts w:ascii="Times New Roman" w:hAnsi="Times New Roman"/>
                <w:b w:val="0"/>
                <w:color w:val="000000"/>
                <w:sz w:val="20"/>
              </w:rPr>
              <w:t>Sí (2032, 2035, 2038)</w:t>
            </w:r>
          </w:p>
        </w:tc>
      </w:tr>
    </w:tbl>
    <w:p>
      <w:r>
        <w:br w:type="page"/>
      </w:r>
    </w:p>
    <w:p>
      <w:pPr>
        <w:pStyle w:val="Heading1"/>
      </w:pPr>
      <w:r>
        <w:t>10. Gestión, Sostenibilidad y Herramientas Digitales</w:t>
      </w:r>
    </w:p>
    <w:p>
      <w:pPr>
        <w:jc w:val="both"/>
      </w:pPr>
      <w:r>
        <w:rPr>
          <w:rFonts w:ascii="Times New Roman" w:hAnsi="Times New Roman"/>
          <w:b w:val="0"/>
          <w:i w:val="0"/>
          <w:color w:val="000000"/>
          <w:sz w:val="22"/>
        </w:rPr>
        <w:t>La sostenibilidad del PMIE depende de tres condiciones operativas: el fortalecimiento de las capacidades institucionales que ejecutan el Plan; un sistema de seguimiento que permita verificar avances; y la disponibilidad de herramientas digitales para la actualización periódica sin necesidad de reformular el Plan completo.</w:t>
      </w:r>
    </w:p>
    <w:p>
      <w:pPr>
        <w:pStyle w:val="Heading2"/>
      </w:pPr>
      <w:r>
        <w:t>10.1 Herramienta Consolidada — entregable diferencial</w:t>
      </w:r>
    </w:p>
    <w:p>
      <w:pPr>
        <w:jc w:val="both"/>
      </w:pPr>
      <w:r>
        <w:rPr>
          <w:rFonts w:ascii="Times New Roman" w:hAnsi="Times New Roman"/>
          <w:b w:val="0"/>
          <w:i w:val="0"/>
          <w:color w:val="000000"/>
          <w:sz w:val="22"/>
        </w:rPr>
        <w:t>La Herramienta Consolidada (PMIE2026_Herramienta_Consolidada.html) es un aplicativo web interactivo autocontenido desarrollado en HTML5, JavaScript y CSS. Se ejecuta directamente en cualquier navegador moderno sin instalación previa, sin servidor backend, y sin dependencias externas más allá de las librerías embebidas (ExcelJS, SheetJS, D3.js). Integra cuatro módulos técnicos:</w:t>
      </w:r>
    </w:p>
    <w:p>
      <w:pPr>
        <w:pStyle w:val="ListBullet"/>
        <w:ind w:left="283"/>
      </w:pPr>
      <w:r>
        <w:rPr>
          <w:rFonts w:ascii="Times New Roman" w:hAnsi="Times New Roman"/>
          <w:sz w:val="22"/>
        </w:rPr>
        <w:t>Módulo H1 — Proyección de Matrícula: implementación del modelo MCDE-T por sede y nivel; carga de archivos SIMAT 2024 y 2026; proyección lineal por sede con CAGR o tasa municipal de fallback; exportación a Excel con desglose anual hasta el año horizonte.</w:t>
      </w:r>
    </w:p>
    <w:p>
      <w:pPr>
        <w:pStyle w:val="ListBullet"/>
        <w:ind w:left="283"/>
      </w:pPr>
      <w:r>
        <w:rPr>
          <w:rFonts w:ascii="Times New Roman" w:hAnsi="Times New Roman"/>
          <w:sz w:val="22"/>
        </w:rPr>
        <w:t>Módulo H2 — Indicador NTC 4595: cálculo por sede del índice sintético; carga del archivo BASE CONSOLIDADA BRECHA FUNCIONAL con detección dinámica de columnas; exportación a Excel del reporte de cumplimiento sin metadatos de quintil ni BF (indicador independiente).</w:t>
      </w:r>
    </w:p>
    <w:p>
      <w:pPr>
        <w:pStyle w:val="ListBullet"/>
        <w:ind w:left="283"/>
      </w:pPr>
      <w:r>
        <w:rPr>
          <w:rFonts w:ascii="Times New Roman" w:hAnsi="Times New Roman"/>
          <w:sz w:val="22"/>
        </w:rPr>
        <w:t>Módulo H3 — Brecha Funcional: cálculo desagregado por espacio (23 tipologías); aplicación de interpolación lineal del factor de calidad; cálculo del costo de adecuación y ampliación; exportación con detalle por espacio y por sede.</w:t>
      </w:r>
    </w:p>
    <w:p>
      <w:pPr>
        <w:pStyle w:val="ListBullet"/>
        <w:ind w:left="283"/>
      </w:pPr>
      <w:r>
        <w:rPr>
          <w:rFonts w:ascii="Times New Roman" w:hAnsi="Times New Roman"/>
          <w:sz w:val="22"/>
        </w:rPr>
        <w:t>Módulo H4 — Árbol de Decisión: implementación de los 11 nodos oficiales; tres parámetros configurables en tiempo real; clasificación por quintiles; asignación múltiple de programas; visualización D3 del flujo; exportación del Plan en Excel con 13 hojas (RESUMEN + P1–P8 + SIN_MAT + LISTADO COMPLETO + BRECHA FUNCIONAL + INDICADOR NTC + QUINTILES).</w:t>
      </w:r>
    </w:p>
    <w:p>
      <w:pPr>
        <w:pStyle w:val="Heading2"/>
      </w:pPr>
      <w:r>
        <w:t>10.2 Ciclo de actualización trianual</w:t>
      </w:r>
    </w:p>
    <w:p>
      <w:pPr>
        <w:jc w:val="both"/>
      </w:pPr>
      <w:r>
        <w:rPr>
          <w:rFonts w:ascii="Times New Roman" w:hAnsi="Times New Roman"/>
          <w:b w:val="0"/>
          <w:i w:val="0"/>
          <w:color w:val="000000"/>
          <w:sz w:val="22"/>
        </w:rPr>
        <w:t>El proceso completo de actualización del PMIE puede ejecutarse en un día hábil mediante la Herramienta Consolidada: (i) Cargar archivos SIMAT actualizados (años n y n+2) → Módulo H1; (ii) Cargar BASE CONSOLIDADA BRECHA FUNCIONAL del año en curso → Módulo H2/H3; (iii) Cargar BRECHA ESTRUCTURAL si hubo nueva evaluación → integración a runTree; (iv) Cargar TABLA DE COSTOS actualizada → reemplaza los costos embebidos; (v) Ejecutar el Módulo H4 con los parámetros revisados → exportar el Excel del Plan actualizado. Las actualizaciones previstas son: 2029, 2032, 2035 y 2038.</w:t>
      </w:r>
    </w:p>
    <w:p>
      <w:pPr>
        <w:pStyle w:val="Heading2"/>
      </w:pPr>
      <w:r>
        <w:t>10.3 Sistema de seguimiento y evaluación</w:t>
      </w:r>
    </w:p>
    <w:p>
      <w:pPr>
        <w:jc w:val="both"/>
      </w:pPr>
      <w:r>
        <w:rPr>
          <w:rFonts w:ascii="Times New Roman" w:hAnsi="Times New Roman"/>
          <w:b w:val="0"/>
          <w:i w:val="0"/>
          <w:color w:val="000000"/>
          <w:sz w:val="22"/>
        </w:rPr>
        <w:t>El Sistema de Seguimiento de Infraestructura Educativa (SIG-IE) recomendado debe contemplar cinco componentes operativos: tablero de avance del Plan (trimestral), registro de intervenciones ejecutadas (mensual), recálculo del índice NTC 4595 tras cada intervención (anual), monitoreo de la matrícula SIMAT (anual) y revisión del cumplimiento de metas del Plan Indicativo (anual y trianual).</w:t>
      </w:r>
    </w:p>
    <w:p>
      <w:r>
        <w:br w:type="page"/>
      </w:r>
    </w:p>
    <w:p>
      <w:pPr>
        <w:pStyle w:val="Heading1"/>
      </w:pPr>
      <w:r>
        <w:t>11. Conclusiones y Recomendaciones</w:t>
      </w:r>
    </w:p>
    <w:p>
      <w:pPr>
        <w:pStyle w:val="Heading2"/>
      </w:pPr>
      <w:r>
        <w:t>11.1 Hallazgos centrales</w:t>
      </w:r>
    </w:p>
    <w:p>
      <w:pPr>
        <w:pStyle w:val="ListBullet"/>
        <w:ind w:left="283"/>
      </w:pPr>
      <w:r>
        <w:rPr>
          <w:rFonts w:ascii="Times New Roman" w:hAnsi="Times New Roman"/>
          <w:sz w:val="22"/>
        </w:rPr>
        <w:t>HALLAZGO 1 — Escala del desafío: el 98,5% de las sedes requieren intervención. El valor total del Plan ($4.27 billones COP) supera más de cuatro veces el presupuesto anual de inversión de la SED, evidenciando la necesidad de fuentes complementarias de financiación.</w:t>
      </w:r>
    </w:p>
    <w:p>
      <w:pPr>
        <w:pStyle w:val="ListBullet"/>
        <w:ind w:left="283"/>
      </w:pPr>
      <w:r>
        <w:rPr>
          <w:rFonts w:ascii="Times New Roman" w:hAnsi="Times New Roman"/>
          <w:sz w:val="22"/>
        </w:rPr>
        <w:t>HALLAZGO 2 — Prioridad sísmica: el 75,3% de las sedes tienen riesgo sísmico alto. En zona de amenaza sísmica alta como Cali, esto representa un riesgo inaceptable para más de 100.000 estudiantes. El Programa P2 atiende 175 sedes con urgencia CRÍTICA o MUY ALTA.</w:t>
      </w:r>
    </w:p>
    <w:p>
      <w:pPr>
        <w:pStyle w:val="ListBullet"/>
        <w:ind w:left="283"/>
      </w:pPr>
      <w:r>
        <w:rPr>
          <w:rFonts w:ascii="Times New Roman" w:hAnsi="Times New Roman"/>
          <w:sz w:val="22"/>
        </w:rPr>
        <w:t>HALLAZGO 3 — Déficit de cobertura: 19.785 estudiantes (proyectables a más de 42.000 con matrícula 2026) son atendidos en sedes no oficiales por falta de oferta pública. El Programa P1 representa una inversión adicional cercana a $0,77 billones COP para la cobertura nueva.</w:t>
      </w:r>
    </w:p>
    <w:p>
      <w:pPr>
        <w:pStyle w:val="ListBullet"/>
        <w:ind w:left="283"/>
      </w:pPr>
      <w:r>
        <w:rPr>
          <w:rFonts w:ascii="Times New Roman" w:hAnsi="Times New Roman"/>
          <w:sz w:val="22"/>
        </w:rPr>
        <w:t>HALLAZGO 4 — Herramienta dinámica: el PMIE 2026 es el primer plan de infraestructura educativa en Colombia que entrega una plataforma digital interactiva que permite actualizar resultados en un día hábil. Garantiza la continuidad técnica del Plan más allá del periodo administrativo de su formulación.</w:t>
      </w:r>
    </w:p>
    <w:p>
      <w:pPr>
        <w:jc w:val="center"/>
      </w:pPr>
      <w:r>
        <w:rPr>
          <w:rFonts w:ascii="Times New Roman" w:hAnsi="Times New Roman"/>
          <w:b/>
          <w:color w:val="0F4761"/>
          <w:sz w:val="20"/>
        </w:rPr>
        <w:t>Figura 15. Composición del Plan: sedes oficiales vs. cobertura NO OFICIAL.</w:t>
      </w:r>
    </w:p>
    <w:p>
      <w:pPr>
        <w:jc w:val="center"/>
      </w:pPr>
      <w:r>
        <w:drawing>
          <wp:inline xmlns:a="http://schemas.openxmlformats.org/drawingml/2006/main" xmlns:pic="http://schemas.openxmlformats.org/drawingml/2006/picture">
            <wp:extent cx="5400000" cy="2931081"/>
            <wp:docPr id="14" name="Picture 14"/>
            <wp:cNvGraphicFramePr>
              <a:graphicFrameLocks noChangeAspect="1"/>
            </wp:cNvGraphicFramePr>
            <a:graphic>
              <a:graphicData uri="http://schemas.openxmlformats.org/drawingml/2006/picture">
                <pic:pic>
                  <pic:nvPicPr>
                    <pic:cNvPr id="0" name="G15_oficial_no_oficial.png"/>
                    <pic:cNvPicPr/>
                  </pic:nvPicPr>
                  <pic:blipFill>
                    <a:blip r:embed="rId22"/>
                    <a:stretch>
                      <a:fillRect/>
                    </a:stretch>
                  </pic:blipFill>
                  <pic:spPr>
                    <a:xfrm>
                      <a:off x="0" y="0"/>
                      <a:ext cx="5400000" cy="293108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Plan atiende dos universos de matrícula: las 113.086 estudiantes que actualmente reciben formación en las 316 sedes oficiales evaluadas y los 19.785 estudiantes que son atendidos en sedes no oficiales del Distrito por insuficiencia de la oferta pública. Esta segunda población —que con la matrícula 2026 podría proyectarse hasta más de 42.000 estudiantes— representa una demanda estructural insatisfecha que debe ser atendida con nueva infraestructura oficial. La inversión por estudiante es comparable entre los dos grupos: $30.967 COP/est. para sedes oficiales (intervención sobre lo existente) y $39.020 COP/est. para cobertura nueva (construcción + predio).</w:t>
      </w:r>
    </w:p>
    <w:p>
      <w:r>
        <w:rPr>
          <w:rFonts w:ascii="Times New Roman" w:hAnsi="Times New Roman"/>
          <w:b/>
          <w:color w:val="0F4761"/>
          <w:sz w:val="20"/>
        </w:rPr>
        <w:t>Indicadores clave:</w:t>
      </w:r>
    </w:p>
    <w:p>
      <w:pPr>
        <w:pStyle w:val="ListBullet"/>
      </w:pPr>
      <w:r>
        <w:rPr>
          <w:rFonts w:ascii="Times New Roman" w:hAnsi="Times New Roman"/>
          <w:sz w:val="20"/>
        </w:rPr>
        <w:t>Cobertura oficial actual: 113.086 estudiantes en 316 sedes</w:t>
      </w:r>
    </w:p>
    <w:p>
      <w:pPr>
        <w:pStyle w:val="ListBullet"/>
      </w:pPr>
      <w:r>
        <w:rPr>
          <w:rFonts w:ascii="Times New Roman" w:hAnsi="Times New Roman"/>
          <w:sz w:val="20"/>
        </w:rPr>
        <w:t>Cobertura NO OFICIAL: 19.785 estudiantes — proyectable a &gt;42.000 (2026)</w:t>
      </w:r>
    </w:p>
    <w:p>
      <w:pPr>
        <w:pStyle w:val="ListBullet"/>
      </w:pPr>
      <w:r>
        <w:rPr>
          <w:rFonts w:ascii="Times New Roman" w:hAnsi="Times New Roman"/>
          <w:sz w:val="20"/>
        </w:rPr>
        <w:t>Inversión adicional para cobertura: $772 MM COP (P1)</w:t>
      </w:r>
    </w:p>
    <w:p>
      <w:pPr>
        <w:pStyle w:val="Heading2"/>
      </w:pPr>
      <w:r>
        <w:t>11.2 Recomendaciones para la implementación</w:t>
      </w:r>
    </w:p>
    <w:p>
      <w:pPr>
        <w:pStyle w:val="ListBullet"/>
        <w:ind w:left="283"/>
      </w:pPr>
      <w:r>
        <w:rPr>
          <w:rFonts w:ascii="Times New Roman" w:hAnsi="Times New Roman"/>
          <w:sz w:val="22"/>
        </w:rPr>
        <w:t>Adopción institucional: formalizar el PMIE 2026–2039 mediante acto administrativo distrital en el segundo semestre de 2026, incorporándolo al marco de inversión plurianual de la SED.</w:t>
      </w:r>
    </w:p>
    <w:p>
      <w:pPr>
        <w:pStyle w:val="ListBullet"/>
        <w:ind w:left="283"/>
      </w:pPr>
      <w:r>
        <w:rPr>
          <w:rFonts w:ascii="Times New Roman" w:hAnsi="Times New Roman"/>
          <w:sz w:val="22"/>
        </w:rPr>
        <w:t>Gestión urgente de financiación: iniciar en el primer semestre de 2027 las gestiones con el MEN, el FFIE y organismos de cooperación internacional, priorizando las 175 sedes con riesgo sísmico CRÍTICO o MUY ALTO.</w:t>
      </w:r>
    </w:p>
    <w:p>
      <w:pPr>
        <w:pStyle w:val="ListBullet"/>
        <w:ind w:left="283"/>
      </w:pPr>
      <w:r>
        <w:rPr>
          <w:rFonts w:ascii="Times New Roman" w:hAnsi="Times New Roman"/>
          <w:sz w:val="22"/>
        </w:rPr>
        <w:t>Actualización trianual: ejecutar el ciclo de actualización del Plan en 2029, 2032, 2035 y 2038, utilizando la Herramienta Consolidada con los datos SIMAT y los levantamientos de campo actualizados a la fecha de cada ciclo.</w:t>
      </w:r>
    </w:p>
    <w:p>
      <w:pPr>
        <w:pStyle w:val="ListBullet"/>
        <w:ind w:left="283"/>
      </w:pPr>
      <w:r>
        <w:rPr>
          <w:rFonts w:ascii="Times New Roman" w:hAnsi="Times New Roman"/>
          <w:sz w:val="22"/>
        </w:rPr>
        <w:t>Saneamiento predial: iniciar el proceso de regularización jurídica de las sedes con situación irregular como requisito previo a la ejecución de inversiones significativas en los Programas P1 y P4.</w:t>
      </w:r>
    </w:p>
    <w:p>
      <w:pPr>
        <w:pStyle w:val="ListBullet"/>
        <w:ind w:left="283"/>
      </w:pPr>
      <w:r>
        <w:rPr>
          <w:rFonts w:ascii="Times New Roman" w:hAnsi="Times New Roman"/>
          <w:sz w:val="22"/>
        </w:rPr>
        <w:t>Articulación interinstitucional: establecer protocolos formales de coordinación entre la SED, la Secretaría de Infraestructura, el DAPM, el DAHM, la SHM y las juntas administradoras locales.</w:t>
      </w:r>
    </w:p>
    <w:p>
      <w:pPr>
        <w:pStyle w:val="ListBullet"/>
        <w:ind w:left="283"/>
      </w:pPr>
      <w:r>
        <w:rPr>
          <w:rFonts w:ascii="Times New Roman" w:hAnsi="Times New Roman"/>
          <w:sz w:val="22"/>
        </w:rPr>
        <w:t>Comunicación comunitaria: desarrollar una versión ciudadana del Plan (resumen visual de 20 páginas con infografías) para difusión en consejos directivos, asociaciones de padres y comunidades educativas.</w:t>
      </w:r>
    </w:p>
    <w:p>
      <w:r>
        <w:br w:type="page"/>
      </w:r>
    </w:p>
    <w:p>
      <w:pPr>
        <w:pStyle w:val="Heading1"/>
      </w:pPr>
      <w:r>
        <w:t>Referencias</w:t>
      </w:r>
    </w:p>
    <w:p>
      <w:pPr>
        <w:jc w:val="both"/>
      </w:pPr>
      <w:r>
        <w:rPr>
          <w:rFonts w:ascii="Times New Roman" w:hAnsi="Times New Roman"/>
          <w:b w:val="0"/>
          <w:i w:val="0"/>
          <w:color w:val="000000"/>
          <w:sz w:val="22"/>
        </w:rPr>
        <w:t>Las referencias se presentan en formato APA 7.ª edición, organizadas en: (1) normas nacionales e internacionales, (2) documentos institucionales y de política pública, (3) literatura técnica y académica.</w:t>
      </w:r>
    </w:p>
    <w:p>
      <w:pPr>
        <w:pStyle w:val="Heading2"/>
      </w:pPr>
      <w:r>
        <w:t>Normas nacionales e internacionales</w:t>
      </w:r>
    </w:p>
    <w:p>
      <w:pPr>
        <w:ind w:left="567" w:hanging="567"/>
      </w:pPr>
      <w:r>
        <w:rPr>
          <w:rFonts w:ascii="Times New Roman" w:hAnsi="Times New Roman"/>
          <w:sz w:val="20"/>
        </w:rPr>
        <w:t>Asamblea Nacional Constituyente. (1991). Constitución Política de Colombia. Gaceta Constitucional N.º 116 (artículos 67 y 366).</w:t>
      </w:r>
    </w:p>
    <w:p>
      <w:pPr>
        <w:ind w:left="567" w:hanging="567"/>
      </w:pPr>
      <w:r>
        <w:rPr>
          <w:rFonts w:ascii="Times New Roman" w:hAnsi="Times New Roman"/>
          <w:sz w:val="20"/>
        </w:rPr>
        <w:t>Banco Mundial. (2019). Programa Global de Escuelas Seguras (Global Program for Safer Schools, GPSS). Washington, D. C.</w:t>
      </w:r>
    </w:p>
    <w:p>
      <w:pPr>
        <w:ind w:left="567" w:hanging="567"/>
      </w:pPr>
      <w:r>
        <w:rPr>
          <w:rFonts w:ascii="Times New Roman" w:hAnsi="Times New Roman"/>
          <w:sz w:val="20"/>
        </w:rPr>
        <w:t>Congreso de la República de Colombia. (1994). Ley 115 de 1994 — Ley General de Educación. Diario Oficial N.º 41.214.</w:t>
      </w:r>
    </w:p>
    <w:p>
      <w:pPr>
        <w:ind w:left="567" w:hanging="567"/>
      </w:pPr>
      <w:r>
        <w:rPr>
          <w:rFonts w:ascii="Times New Roman" w:hAnsi="Times New Roman"/>
          <w:sz w:val="20"/>
        </w:rPr>
        <w:t>Congreso de la República de Colombia. (1997). Ley 388 de 1997 — Ley de Desarrollo Territorial. Diario Oficial N.º 43.091.</w:t>
      </w:r>
    </w:p>
    <w:p>
      <w:pPr>
        <w:ind w:left="567" w:hanging="567"/>
      </w:pPr>
      <w:r>
        <w:rPr>
          <w:rFonts w:ascii="Times New Roman" w:hAnsi="Times New Roman"/>
          <w:sz w:val="20"/>
        </w:rPr>
        <w:t>Congreso de la República de Colombia. (2001). Ley 715 de 2001 — Normas orgánicas en materia de recursos y competencias. Diario Oficial N.º 44.654.</w:t>
      </w:r>
    </w:p>
    <w:p>
      <w:pPr>
        <w:ind w:left="567" w:hanging="567"/>
      </w:pPr>
      <w:r>
        <w:rPr>
          <w:rFonts w:ascii="Times New Roman" w:hAnsi="Times New Roman"/>
          <w:sz w:val="20"/>
        </w:rPr>
        <w:t>Congreso de la República de Colombia. (2012). Ley 1508 de 2012 — Régimen jurídico de las Asociaciones Público-Privadas.</w:t>
      </w:r>
    </w:p>
    <w:p>
      <w:pPr>
        <w:ind w:left="567" w:hanging="567"/>
      </w:pPr>
      <w:r>
        <w:rPr>
          <w:rFonts w:ascii="Times New Roman" w:hAnsi="Times New Roman"/>
          <w:sz w:val="20"/>
        </w:rPr>
        <w:t>Congreso de la República de Colombia. (2012). Ley 1523 de 2012 — Política Nacional de Gestión del Riesgo de Desastres.</w:t>
      </w:r>
    </w:p>
    <w:p>
      <w:pPr>
        <w:ind w:left="567" w:hanging="567"/>
      </w:pPr>
      <w:r>
        <w:rPr>
          <w:rFonts w:ascii="Times New Roman" w:hAnsi="Times New Roman"/>
          <w:sz w:val="20"/>
        </w:rPr>
        <w:t>ICONTEC. (2006/actualización vigente). NTC 4595 — Planeamiento y diseño de instalaciones y ambientes escolares. Bogotá: Instituto Colombiano de Normas Técnicas y Certificación.</w:t>
      </w:r>
    </w:p>
    <w:p>
      <w:pPr>
        <w:ind w:left="567" w:hanging="567"/>
      </w:pPr>
      <w:r>
        <w:rPr>
          <w:rFonts w:ascii="Times New Roman" w:hAnsi="Times New Roman"/>
          <w:sz w:val="20"/>
        </w:rPr>
        <w:t>ICONTEC. (2023). NTC 6705:2023 — Norma Técnica para la Elaboración de Planes Maestros de Infraestructura Educativa. Bogotá.</w:t>
      </w:r>
    </w:p>
    <w:p>
      <w:pPr>
        <w:ind w:left="567" w:hanging="567"/>
      </w:pPr>
      <w:r>
        <w:rPr>
          <w:rFonts w:ascii="Times New Roman" w:hAnsi="Times New Roman"/>
          <w:sz w:val="20"/>
        </w:rPr>
        <w:t>Ministerio de Ambiente, Vivienda y Desarrollo Territorial. (2010). Decreto 926 de 2010 — Reglamento Colombiano de Construcción Sismo Resistente NSR-10. Bogotá.</w:t>
      </w:r>
    </w:p>
    <w:p>
      <w:pPr>
        <w:ind w:left="567" w:hanging="567"/>
      </w:pPr>
      <w:r>
        <w:rPr>
          <w:rFonts w:ascii="Times New Roman" w:hAnsi="Times New Roman"/>
          <w:sz w:val="20"/>
        </w:rPr>
        <w:t>Ministerio de Educación Nacional. (2015). Decreto 1075 de 2015 — Decreto Único Reglamentario del Sector Educativo. Bogotá.</w:t>
      </w:r>
    </w:p>
    <w:p>
      <w:pPr>
        <w:ind w:left="567" w:hanging="567"/>
      </w:pPr>
      <w:r>
        <w:rPr>
          <w:rFonts w:ascii="Times New Roman" w:hAnsi="Times New Roman"/>
          <w:sz w:val="20"/>
        </w:rPr>
        <w:t>Ministerio de Educación Nacional. (2017). Decreto 1421 de 2017 — Reglamentación de la educación inclusiva con enfoque de discapacidad. Bogotá.</w:t>
      </w:r>
    </w:p>
    <w:p>
      <w:pPr>
        <w:ind w:left="567" w:hanging="567"/>
      </w:pPr>
      <w:r>
        <w:rPr>
          <w:rFonts w:ascii="Times New Roman" w:hAnsi="Times New Roman"/>
          <w:sz w:val="20"/>
        </w:rPr>
        <w:t>Ministerio de Educación Nacional. (2017). Resolución 21534 de 2017 — Operación del Fondo de Financiamiento de la Infraestructura Educativa (FFIE). Bogotá.</w:t>
      </w:r>
    </w:p>
    <w:p>
      <w:pPr>
        <w:ind w:left="567" w:hanging="567"/>
      </w:pPr>
      <w:r>
        <w:rPr>
          <w:rFonts w:ascii="Times New Roman" w:hAnsi="Times New Roman"/>
          <w:sz w:val="20"/>
        </w:rPr>
        <w:t>Ministerio de Educación Nacional. (2022). Política Nacional de Infraestructura Educativa. Bogotá: MEN.</w:t>
      </w:r>
    </w:p>
    <w:p>
      <w:pPr>
        <w:ind w:left="567" w:hanging="567"/>
      </w:pPr>
      <w:r>
        <w:rPr>
          <w:rFonts w:ascii="Times New Roman" w:hAnsi="Times New Roman"/>
          <w:sz w:val="20"/>
        </w:rPr>
        <w:t>Naciones Unidas. (2015). Transformar nuestro mundo: la Agenda 2030 para el Desarrollo Sostenible. ODS 4 — Educación de Calidad. A/RES/70/1.</w:t>
      </w:r>
    </w:p>
    <w:p>
      <w:pPr>
        <w:ind w:left="567" w:hanging="567"/>
      </w:pPr>
      <w:r>
        <w:rPr>
          <w:rFonts w:ascii="Times New Roman" w:hAnsi="Times New Roman"/>
          <w:sz w:val="20"/>
        </w:rPr>
        <w:t>UNESCO. (2015). Marco de acción Educación 2030 — Hacia una educación inclusiva, equitativa y de calidad y un aprendizaje a lo largo de la vida para todos.</w:t>
      </w:r>
    </w:p>
    <w:p>
      <w:pPr>
        <w:pStyle w:val="Heading2"/>
      </w:pPr>
      <w:r>
        <w:t>Documentos institucionales y de política pública</w:t>
      </w:r>
    </w:p>
    <w:p>
      <w:pPr>
        <w:ind w:left="567" w:hanging="567"/>
      </w:pPr>
      <w:r>
        <w:rPr>
          <w:rFonts w:ascii="Times New Roman" w:hAnsi="Times New Roman"/>
          <w:sz w:val="20"/>
        </w:rPr>
        <w:t>Alcaldía de Santiago de Cali. (2019). Plan Municipal de Infraestructura Educativa 2019. Secretaría de Educación Municipal. Cali: Alcaldía de Santiago de Cali — Banco Mundial — Universidad de los Andes.</w:t>
      </w:r>
    </w:p>
    <w:p>
      <w:pPr>
        <w:ind w:left="567" w:hanging="567"/>
      </w:pPr>
      <w:r>
        <w:rPr>
          <w:rFonts w:ascii="Times New Roman" w:hAnsi="Times New Roman"/>
          <w:sz w:val="20"/>
        </w:rPr>
        <w:t>Alcaldía de Santiago de Cali. (2020). Decreto Distrital 4112.010.20.0403 de 2020 — Lineamientos de gestión territorial educativa. Cali.</w:t>
      </w:r>
    </w:p>
    <w:p>
      <w:pPr>
        <w:ind w:left="567" w:hanging="567"/>
      </w:pPr>
      <w:r>
        <w:rPr>
          <w:rFonts w:ascii="Times New Roman" w:hAnsi="Times New Roman"/>
          <w:sz w:val="20"/>
        </w:rPr>
        <w:t>Alcaldía de Santiago de Cali. (2023). Manual de Intervención de Infraestructura Escolar. Secretaría de Educación Distrital. Cali.</w:t>
      </w:r>
    </w:p>
    <w:p>
      <w:pPr>
        <w:ind w:left="567" w:hanging="567"/>
      </w:pPr>
      <w:r>
        <w:rPr>
          <w:rFonts w:ascii="Times New Roman" w:hAnsi="Times New Roman"/>
          <w:sz w:val="20"/>
        </w:rPr>
        <w:t>Alcaldía de Santiago de Cali. (2024). Plan de Desarrollo «Cali, Ciudad que Educa y Aprende» 2024–2027. Cali.</w:t>
      </w:r>
    </w:p>
    <w:p>
      <w:pPr>
        <w:ind w:left="567" w:hanging="567"/>
      </w:pPr>
      <w:r>
        <w:rPr>
          <w:rFonts w:ascii="Times New Roman" w:hAnsi="Times New Roman"/>
          <w:sz w:val="20"/>
        </w:rPr>
        <w:t>Alcaldía de Santiago de Cali. (2025). Plan Sectorial de Educación de Santiago de Cali 2024-2027. Subsecretaría de Planeación Sectorial. Cali.</w:t>
      </w:r>
    </w:p>
    <w:p>
      <w:pPr>
        <w:ind w:left="567" w:hanging="567"/>
      </w:pPr>
      <w:r>
        <w:rPr>
          <w:rFonts w:ascii="Times New Roman" w:hAnsi="Times New Roman"/>
          <w:sz w:val="20"/>
        </w:rPr>
        <w:t>DANE — Departamento Administrativo Nacional de Estadística. (2018). Censo Nacional de Población y Vivienda CNPV 2018. Bogotá. Actualización agosto 2025.</w:t>
      </w:r>
    </w:p>
    <w:p>
      <w:pPr>
        <w:ind w:left="567" w:hanging="567"/>
      </w:pPr>
      <w:r>
        <w:rPr>
          <w:rFonts w:ascii="Times New Roman" w:hAnsi="Times New Roman"/>
          <w:sz w:val="20"/>
        </w:rPr>
        <w:t>DAPM — Departamento Administrativo de Planeación Municipal de Cali. (vigente). Plan de Ordenamiento Territorial del Distrito de Santiago de Cali.</w:t>
      </w:r>
    </w:p>
    <w:p>
      <w:pPr>
        <w:ind w:left="567" w:hanging="567"/>
      </w:pPr>
      <w:r>
        <w:rPr>
          <w:rFonts w:ascii="Times New Roman" w:hAnsi="Times New Roman"/>
          <w:sz w:val="20"/>
        </w:rPr>
        <w:t>Ministerio de Educación Nacional. (2024). Sistema Integrado de Matrícula SIMAT — Datos 2024–2026. Bogotá: MEN.</w:t>
      </w:r>
    </w:p>
    <w:p>
      <w:pPr>
        <w:ind w:left="567" w:hanging="567"/>
      </w:pPr>
      <w:r>
        <w:rPr>
          <w:rFonts w:ascii="Times New Roman" w:hAnsi="Times New Roman"/>
          <w:sz w:val="20"/>
        </w:rPr>
        <w:t>Secretaría de Educación Distrital de Santiago de Cali. (2025). Archivo BASE CONSOLIDADA BRECHA FUNCIONAL — 316 sedes evaluadas. Cali: SED.</w:t>
      </w:r>
    </w:p>
    <w:p>
      <w:pPr>
        <w:ind w:left="567" w:hanging="567"/>
      </w:pPr>
      <w:r>
        <w:rPr>
          <w:rFonts w:ascii="Times New Roman" w:hAnsi="Times New Roman"/>
          <w:sz w:val="20"/>
        </w:rPr>
        <w:t>Secretaría de Educación Distrital de Santiago de Cali. (2025). Archivo PMIE2026_BRECHA_ESTRUCTURAL — 1.480 bloques sobre 312 sedes. Cali: SED.</w:t>
      </w:r>
    </w:p>
    <w:p>
      <w:pPr>
        <w:ind w:left="567" w:hanging="567"/>
      </w:pPr>
      <w:r>
        <w:rPr>
          <w:rFonts w:ascii="Times New Roman" w:hAnsi="Times New Roman"/>
          <w:sz w:val="20"/>
        </w:rPr>
        <w:t>Secretaría de Educación Distrital de Santiago de Cali. (2026). Tabla de Costos Unitarios PMIE 2026. Cali: SED.</w:t>
      </w:r>
    </w:p>
    <w:p>
      <w:pPr>
        <w:pStyle w:val="Heading2"/>
      </w:pPr>
      <w:r>
        <w:t>Literatura técnica y académica</w:t>
      </w:r>
    </w:p>
    <w:p>
      <w:pPr>
        <w:ind w:left="567" w:hanging="567"/>
      </w:pPr>
      <w:r>
        <w:rPr>
          <w:rFonts w:ascii="Times New Roman" w:hAnsi="Times New Roman"/>
          <w:sz w:val="20"/>
        </w:rPr>
        <w:t>BID — Banco Interamericano de Desarrollo. (2017). Aprendizaje en las escuelas del siglo XXI: nota 5 — La infraestructura escolar y los aprendizajes. Washington, D. C.: BID.</w:t>
      </w:r>
    </w:p>
    <w:p>
      <w:pPr>
        <w:ind w:left="567" w:hanging="567"/>
      </w:pPr>
      <w:r>
        <w:rPr>
          <w:rFonts w:ascii="Times New Roman" w:hAnsi="Times New Roman"/>
          <w:sz w:val="20"/>
        </w:rPr>
        <w:t>OCDE. (2017). The OECD Handbook for Innovative Learning Environments. París: Editorial OCDE.</w:t>
      </w:r>
    </w:p>
    <w:p>
      <w:pPr>
        <w:ind w:left="567" w:hanging="567"/>
      </w:pPr>
      <w:r>
        <w:rPr>
          <w:rFonts w:ascii="Times New Roman" w:hAnsi="Times New Roman"/>
          <w:sz w:val="20"/>
        </w:rPr>
        <w:t>OECD. (2018). PISA 2018 Results — What Schools Can Do (Volume V). París.</w:t>
      </w:r>
    </w:p>
    <w:p>
      <w:pPr>
        <w:ind w:left="567" w:hanging="567"/>
      </w:pPr>
      <w:r>
        <w:rPr>
          <w:rFonts w:ascii="Times New Roman" w:hAnsi="Times New Roman"/>
          <w:sz w:val="20"/>
        </w:rPr>
        <w:t>UNESCO-IIEP. (2020). Education Sector Analysis Methodological Guidelines: Volume 2 — Sub-sector Specific Analysis. París: UNESCO Institute for International Educational Planning.</w:t>
      </w:r>
    </w:p>
    <w:p>
      <w:pPr>
        <w:ind w:left="567" w:hanging="567"/>
      </w:pPr>
      <w:r>
        <w:rPr>
          <w:rFonts w:ascii="Times New Roman" w:hAnsi="Times New Roman"/>
          <w:sz w:val="20"/>
        </w:rPr>
        <w:t>Universidad de los Andes — Programa Global de Escuelas Seguras del Banco Mundial. (2019). Metodología para la evaluación sísmica de edificaciones escolares — Aplicación al Distrito de Santiago de Cali.</w:t>
      </w:r>
    </w:p>
    <w:p>
      <w:pPr>
        <w:ind w:left="567" w:hanging="567"/>
      </w:pPr>
      <w:r>
        <w:rPr>
          <w:rFonts w:ascii="Times New Roman" w:hAnsi="Times New Roman"/>
          <w:sz w:val="20"/>
        </w:rPr>
        <w:t>Yamin, L. E., García, A. P. (2019). Evaluación de la vulnerabilidad sísmica de infraestructura escolar — Estudios de caso colombianos. Bogotá: Universidad de los Andes.</w:t>
      </w:r>
    </w:p>
    <w:p>
      <w:r>
        <w:br w:type="page"/>
      </w:r>
    </w:p>
    <w:p>
      <w:pPr>
        <w:pStyle w:val="Heading1"/>
      </w:pPr>
      <w:r>
        <w:t>Anexos Técnicos</w:t>
      </w:r>
    </w:p>
    <w:p>
      <w:pPr>
        <w:pStyle w:val="Heading2"/>
      </w:pPr>
      <w:r>
        <w:t>Anexo A — Cartografía temática del SIG-PMIE</w:t>
      </w:r>
    </w:p>
    <w:p>
      <w:pPr>
        <w:jc w:val="both"/>
      </w:pPr>
      <w:r>
        <w:rPr>
          <w:rFonts w:ascii="Times New Roman" w:hAnsi="Times New Roman"/>
          <w:b w:val="0"/>
          <w:i w:val="0"/>
          <w:color w:val="000000"/>
          <w:sz w:val="22"/>
        </w:rPr>
        <w:t>Sistema de referencia: Magna Sirgas / Colombia Bogotá Zone (EPSG: 6249). Escala 1:75.000. Elaborado por el equipo SIG del PMIE en diciembre de 2025. Cinco mapas en formato PDF se distribuyen junto con este documento:</w:t>
      </w:r>
    </w:p>
    <w:p>
      <w:pPr>
        <w:pStyle w:val="ListBullet"/>
        <w:ind w:left="283"/>
      </w:pPr>
      <w:r>
        <w:rPr>
          <w:rFonts w:ascii="Times New Roman" w:hAnsi="Times New Roman"/>
          <w:sz w:val="22"/>
        </w:rPr>
        <w:t>Mapa 1 — Densidad de sedes IEO públicas (MAPA_CALOR_SEDES.pdf).</w:t>
      </w:r>
    </w:p>
    <w:p>
      <w:pPr>
        <w:pStyle w:val="ListBullet"/>
        <w:ind w:left="283"/>
      </w:pPr>
      <w:r>
        <w:rPr>
          <w:rFonts w:ascii="Times New Roman" w:hAnsi="Times New Roman"/>
          <w:sz w:val="22"/>
        </w:rPr>
        <w:t>Mapa 2 — Calor de matrículas públicas con sedes (MAPA_CALOR_MATRICULAS_SE.pdf).</w:t>
      </w:r>
    </w:p>
    <w:p>
      <w:pPr>
        <w:pStyle w:val="ListBullet"/>
        <w:ind w:left="283"/>
      </w:pPr>
      <w:r>
        <w:rPr>
          <w:rFonts w:ascii="Times New Roman" w:hAnsi="Times New Roman"/>
          <w:sz w:val="22"/>
        </w:rPr>
        <w:t>Mapa 3 — Calor de matrículas públicas sin sedes (MAPA_CALOR_MATRICULAS.pdf).</w:t>
      </w:r>
    </w:p>
    <w:p>
      <w:pPr>
        <w:pStyle w:val="ListBullet"/>
        <w:ind w:left="283"/>
      </w:pPr>
      <w:r>
        <w:rPr>
          <w:rFonts w:ascii="Times New Roman" w:hAnsi="Times New Roman"/>
          <w:sz w:val="22"/>
        </w:rPr>
        <w:t>Mapa 4 — Densidad de estudiantes cercanos a su sede (&lt;400m).</w:t>
      </w:r>
    </w:p>
    <w:p>
      <w:pPr>
        <w:pStyle w:val="ListBullet"/>
        <w:ind w:left="283"/>
      </w:pPr>
      <w:r>
        <w:rPr>
          <w:rFonts w:ascii="Times New Roman" w:hAnsi="Times New Roman"/>
          <w:sz w:val="22"/>
        </w:rPr>
        <w:t>Mapa 5 — Densidad de matrículas lejanas a su sede asignada (&gt;400m).</w:t>
      </w:r>
    </w:p>
    <w:p>
      <w:pPr>
        <w:pStyle w:val="Heading2"/>
      </w:pPr>
      <w:r>
        <w:t>Anexo B — Herramienta Consolidada</w:t>
      </w:r>
    </w:p>
    <w:p>
      <w:pPr>
        <w:jc w:val="both"/>
      </w:pPr>
      <w:r>
        <w:rPr>
          <w:rFonts w:ascii="Times New Roman" w:hAnsi="Times New Roman"/>
          <w:b w:val="0"/>
          <w:i w:val="0"/>
          <w:color w:val="000000"/>
          <w:sz w:val="22"/>
        </w:rPr>
        <w:t>Archivo: PMIE2026_Herramienta_Consolidada.html. Aplicativo web autocontenido, ejecutable en cualquier navegador moderno sin instalación. Integra módulos H1, H2, H3 y H4. Tamaño aproximado: 800 KB. Disponible en el repositorio GitHub del Distrito y como entrega de archivos del Plan.</w:t>
      </w:r>
    </w:p>
    <w:p>
      <w:pPr>
        <w:pStyle w:val="Heading2"/>
      </w:pPr>
      <w:r>
        <w:t>Anexo C — Resultados del Plan en formato Excel</w:t>
      </w:r>
    </w:p>
    <w:p>
      <w:pPr>
        <w:jc w:val="both"/>
      </w:pPr>
      <w:r>
        <w:rPr>
          <w:rFonts w:ascii="Times New Roman" w:hAnsi="Times New Roman"/>
          <w:b w:val="0"/>
          <w:i w:val="0"/>
          <w:color w:val="000000"/>
          <w:sz w:val="22"/>
        </w:rPr>
        <w:t>Archivo: PMIE2026_Plan_AAAAMMDD_QN_316sedes.xlsx. Trece hojas: RESUMEN (con fila P1 que integra cobertura NO OFICIAL), P1, P2, P3, P4, P5, P6, P8, SIN_MAT, LISTADO COMPLETO (316 sedes × 27 variables), BRECHA FUNCIONAL (detalle por sede y por espacio), INDICADOR NTC (índice de cumplimiento sin metadatos del Plan), QUINTILES (clasificación de eficiencia).</w:t>
      </w:r>
    </w:p>
    <w:p>
      <w:pPr>
        <w:pStyle w:val="Heading2"/>
      </w:pPr>
      <w:r>
        <w:t>Anexo D — Bases de datos técnicas</w:t>
      </w:r>
    </w:p>
    <w:p>
      <w:pPr>
        <w:jc w:val="both"/>
      </w:pPr>
      <w:r>
        <w:rPr>
          <w:rFonts w:ascii="Times New Roman" w:hAnsi="Times New Roman"/>
          <w:b w:val="0"/>
          <w:i w:val="0"/>
          <w:color w:val="000000"/>
          <w:sz w:val="22"/>
        </w:rPr>
        <w:t>F1_BrechaFuncional.xlsx (316 sedes × 289 columnas); F2_BrechaEstructural.xlsx (312 sedes × 1.480 bloques); F3_IndicadorNTC4595.xlsx (316 sedes × 31 columnas); BC_Consolidada.xlsx (dos escenarios sísmicos: Seguridad Limitada y Sismo de Diseño); F4_TablaDeCostos.xlsx (costos unitarios 2026 por comuna).</w:t>
      </w:r>
    </w:p>
    <w:p>
      <w:pPr>
        <w:pStyle w:val="Heading2"/>
      </w:pPr>
      <w:r>
        <w:t>Anexo E — Manuales y código fuente</w:t>
      </w:r>
    </w:p>
    <w:p>
      <w:pPr>
        <w:jc w:val="both"/>
      </w:pPr>
      <w:r>
        <w:rPr>
          <w:rFonts w:ascii="Times New Roman" w:hAnsi="Times New Roman"/>
          <w:b w:val="0"/>
          <w:i w:val="0"/>
          <w:color w:val="000000"/>
          <w:sz w:val="22"/>
        </w:rPr>
        <w:t>Manual_Matricula.docx, Manual_NTC4595.docx, Manual_BrechaFuncional.docx (manuales de usuario de las tres herramientas técnicas). Código fuente JavaScript de los módulos H1–H4 embebido en el archivo HTML.</w:t>
      </w:r>
    </w:p>
    <w:p>
      <w:pPr>
        <w:pStyle w:val="Heading2"/>
      </w:pPr>
      <w:r>
        <w:t>Anexo F — Trazabilidad de fuentes</w:t>
      </w:r>
    </w:p>
    <w:p>
      <w:pPr>
        <w:jc w:val="both"/>
      </w:pPr>
      <w:r>
        <w:rPr>
          <w:rFonts w:ascii="Times New Roman" w:hAnsi="Times New Roman"/>
          <w:b w:val="0"/>
          <w:i/>
          <w:color w:val="0F4761"/>
          <w:sz w:val="20"/>
        </w:rPr>
        <w:t>Tabla 27. Trazabilidad de fuentes de información del PMIE 2026.</w:t>
      </w:r>
    </w:p>
    <w:tbl>
      <w:tblPr>
        <w:tblStyle w:val="LightGrid-Accent1"/>
        <w:tblW w:type="auto" w:w="0"/>
        <w:tblLook w:firstColumn="1" w:firstRow="1" w:lastColumn="0" w:lastRow="0" w:noHBand="0" w:noVBand="1" w:val="04A0"/>
      </w:tblPr>
      <w:tblGrid>
        <w:gridCol w:w="3041"/>
        <w:gridCol w:w="3041"/>
        <w:gridCol w:w="3041"/>
      </w:tblGrid>
      <w:tr>
        <w:tc>
          <w:tcPr>
            <w:tcW w:type="dxa" w:w="2835"/>
            <w:shd w:val="clear" w:color="auto" w:fill="0F4761"/>
            <w:vAlign w:val="center"/>
          </w:tcPr>
          <w:p>
            <w:pPr>
              <w:jc w:val="center"/>
            </w:pPr>
            <w:r/>
            <w:r>
              <w:rPr>
                <w:rFonts w:ascii="Times New Roman" w:hAnsi="Times New Roman"/>
                <w:b/>
                <w:color w:val="FFFFFF"/>
                <w:sz w:val="20"/>
              </w:rPr>
              <w:t>Dato</w:t>
            </w:r>
          </w:p>
        </w:tc>
        <w:tc>
          <w:tcPr>
            <w:tcW w:type="dxa" w:w="4252"/>
            <w:shd w:val="clear" w:color="auto" w:fill="0F4761"/>
            <w:vAlign w:val="center"/>
          </w:tcPr>
          <w:p>
            <w:pPr>
              <w:jc w:val="center"/>
            </w:pPr>
            <w:r/>
            <w:r>
              <w:rPr>
                <w:rFonts w:ascii="Times New Roman" w:hAnsi="Times New Roman"/>
                <w:b/>
                <w:color w:val="FFFFFF"/>
                <w:sz w:val="20"/>
              </w:rPr>
              <w:t>Fuente</w:t>
            </w:r>
          </w:p>
        </w:tc>
        <w:tc>
          <w:tcPr>
            <w:tcW w:type="dxa" w:w="2268"/>
            <w:shd w:val="clear" w:color="auto" w:fill="0F4761"/>
            <w:vAlign w:val="center"/>
          </w:tcPr>
          <w:p>
            <w:pPr>
              <w:jc w:val="center"/>
            </w:pPr>
            <w:r/>
            <w:r>
              <w:rPr>
                <w:rFonts w:ascii="Times New Roman" w:hAnsi="Times New Roman"/>
                <w:b/>
                <w:color w:val="FFFFFF"/>
                <w:sz w:val="20"/>
              </w:rPr>
              <w:t>Cobertura / Volumen</w:t>
            </w:r>
          </w:p>
        </w:tc>
      </w:tr>
      <w:tr>
        <w:tc>
          <w:tcPr>
            <w:tcW w:type="dxa" w:w="2835"/>
            <w:vAlign w:val="center"/>
          </w:tcPr>
          <w:p>
            <w:pPr>
              <w:jc w:val="left"/>
            </w:pPr>
            <w:r/>
            <w:r>
              <w:rPr>
                <w:rFonts w:ascii="Times New Roman" w:hAnsi="Times New Roman"/>
                <w:b w:val="0"/>
                <w:color w:val="000000"/>
                <w:sz w:val="20"/>
              </w:rPr>
              <w:t>Matrícula oficial 2024</w:t>
            </w:r>
          </w:p>
        </w:tc>
        <w:tc>
          <w:tcPr>
            <w:tcW w:type="dxa" w:w="4252"/>
            <w:vAlign w:val="center"/>
          </w:tcPr>
          <w:p>
            <w:pPr>
              <w:jc w:val="left"/>
            </w:pPr>
            <w:r/>
            <w:r>
              <w:rPr>
                <w:rFonts w:ascii="Times New Roman" w:hAnsi="Times New Roman"/>
                <w:b w:val="0"/>
                <w:color w:val="000000"/>
                <w:sz w:val="20"/>
              </w:rPr>
              <w:t>SIMAT — Ministerio de Educación Nacional</w:t>
            </w:r>
          </w:p>
        </w:tc>
        <w:tc>
          <w:tcPr>
            <w:tcW w:type="dxa" w:w="2268"/>
            <w:vAlign w:val="center"/>
          </w:tcPr>
          <w:p>
            <w:pPr>
              <w:jc w:val="left"/>
            </w:pPr>
            <w:r/>
            <w:r>
              <w:rPr>
                <w:rFonts w:ascii="Times New Roman" w:hAnsi="Times New Roman"/>
                <w:b w:val="0"/>
                <w:color w:val="000000"/>
                <w:sz w:val="20"/>
              </w:rPr>
              <w:t>141.414 estudiantes</w:t>
            </w:r>
          </w:p>
        </w:tc>
      </w:tr>
      <w:tr>
        <w:tc>
          <w:tcPr>
            <w:tcW w:type="dxa" w:w="2835"/>
            <w:vAlign w:val="center"/>
          </w:tcPr>
          <w:p>
            <w:pPr>
              <w:jc w:val="left"/>
            </w:pPr>
            <w:r/>
            <w:r>
              <w:rPr>
                <w:rFonts w:ascii="Times New Roman" w:hAnsi="Times New Roman"/>
                <w:b w:val="0"/>
                <w:color w:val="000000"/>
                <w:sz w:val="20"/>
              </w:rPr>
              <w:t>Matrícula oficial 2026</w:t>
            </w:r>
          </w:p>
        </w:tc>
        <w:tc>
          <w:tcPr>
            <w:tcW w:type="dxa" w:w="4252"/>
            <w:vAlign w:val="center"/>
          </w:tcPr>
          <w:p>
            <w:pPr>
              <w:jc w:val="left"/>
            </w:pPr>
            <w:r/>
            <w:r>
              <w:rPr>
                <w:rFonts w:ascii="Times New Roman" w:hAnsi="Times New Roman"/>
                <w:b w:val="0"/>
                <w:color w:val="000000"/>
                <w:sz w:val="20"/>
              </w:rPr>
              <w:t>SIMAT — actualización agosto 2025</w:t>
            </w:r>
          </w:p>
        </w:tc>
        <w:tc>
          <w:tcPr>
            <w:tcW w:type="dxa" w:w="2268"/>
            <w:vAlign w:val="center"/>
          </w:tcPr>
          <w:p>
            <w:pPr>
              <w:jc w:val="left"/>
            </w:pPr>
            <w:r/>
            <w:r>
              <w:rPr>
                <w:rFonts w:ascii="Times New Roman" w:hAnsi="Times New Roman"/>
                <w:b w:val="0"/>
                <w:color w:val="000000"/>
                <w:sz w:val="20"/>
              </w:rPr>
              <w:t>Pendiente carga</w:t>
            </w:r>
          </w:p>
        </w:tc>
      </w:tr>
      <w:tr>
        <w:tc>
          <w:tcPr>
            <w:tcW w:type="dxa" w:w="2835"/>
            <w:vAlign w:val="center"/>
          </w:tcPr>
          <w:p>
            <w:pPr>
              <w:jc w:val="left"/>
            </w:pPr>
            <w:r/>
            <w:r>
              <w:rPr>
                <w:rFonts w:ascii="Times New Roman" w:hAnsi="Times New Roman"/>
                <w:b w:val="0"/>
                <w:color w:val="000000"/>
                <w:sz w:val="20"/>
              </w:rPr>
              <w:t>Matrícula NO OFICIAL 2024</w:t>
            </w:r>
          </w:p>
        </w:tc>
        <w:tc>
          <w:tcPr>
            <w:tcW w:type="dxa" w:w="4252"/>
            <w:vAlign w:val="center"/>
          </w:tcPr>
          <w:p>
            <w:pPr>
              <w:jc w:val="left"/>
            </w:pPr>
            <w:r/>
            <w:r>
              <w:rPr>
                <w:rFonts w:ascii="Times New Roman" w:hAnsi="Times New Roman"/>
                <w:b w:val="0"/>
                <w:color w:val="000000"/>
                <w:sz w:val="20"/>
              </w:rPr>
              <w:t>MATRICULA BASE PLAN 2024 (SECTOR=NO OFICIAL)</w:t>
            </w:r>
          </w:p>
        </w:tc>
        <w:tc>
          <w:tcPr>
            <w:tcW w:type="dxa" w:w="2268"/>
            <w:vAlign w:val="center"/>
          </w:tcPr>
          <w:p>
            <w:pPr>
              <w:jc w:val="left"/>
            </w:pPr>
            <w:r/>
            <w:r>
              <w:rPr>
                <w:rFonts w:ascii="Times New Roman" w:hAnsi="Times New Roman"/>
                <w:b w:val="0"/>
                <w:color w:val="000000"/>
                <w:sz w:val="20"/>
              </w:rPr>
              <w:t>19.785 estudiantes</w:t>
            </w:r>
          </w:p>
        </w:tc>
      </w:tr>
      <w:tr>
        <w:tc>
          <w:tcPr>
            <w:tcW w:type="dxa" w:w="2835"/>
            <w:vAlign w:val="center"/>
          </w:tcPr>
          <w:p>
            <w:pPr>
              <w:jc w:val="left"/>
            </w:pPr>
            <w:r/>
            <w:r>
              <w:rPr>
                <w:rFonts w:ascii="Times New Roman" w:hAnsi="Times New Roman"/>
                <w:b w:val="0"/>
                <w:color w:val="000000"/>
                <w:sz w:val="20"/>
              </w:rPr>
              <w:t>Diagnóstico estructural</w:t>
            </w:r>
          </w:p>
        </w:tc>
        <w:tc>
          <w:tcPr>
            <w:tcW w:type="dxa" w:w="4252"/>
            <w:vAlign w:val="center"/>
          </w:tcPr>
          <w:p>
            <w:pPr>
              <w:jc w:val="left"/>
            </w:pPr>
            <w:r/>
            <w:r>
              <w:rPr>
                <w:rFonts w:ascii="Times New Roman" w:hAnsi="Times New Roman"/>
                <w:b w:val="0"/>
                <w:color w:val="000000"/>
                <w:sz w:val="20"/>
              </w:rPr>
              <w:t>PMIE2026_BRECHA_ESTRUCTURAL.xlsx — SED 2025</w:t>
            </w:r>
          </w:p>
        </w:tc>
        <w:tc>
          <w:tcPr>
            <w:tcW w:type="dxa" w:w="2268"/>
            <w:vAlign w:val="center"/>
          </w:tcPr>
          <w:p>
            <w:pPr>
              <w:jc w:val="left"/>
            </w:pPr>
            <w:r/>
            <w:r>
              <w:rPr>
                <w:rFonts w:ascii="Times New Roman" w:hAnsi="Times New Roman"/>
                <w:b w:val="0"/>
                <w:color w:val="000000"/>
                <w:sz w:val="20"/>
              </w:rPr>
              <w:t>312 sedes · 1.480 bloques</w:t>
            </w:r>
          </w:p>
        </w:tc>
      </w:tr>
      <w:tr>
        <w:tc>
          <w:tcPr>
            <w:tcW w:type="dxa" w:w="2835"/>
            <w:vAlign w:val="center"/>
          </w:tcPr>
          <w:p>
            <w:pPr>
              <w:jc w:val="left"/>
            </w:pPr>
            <w:r/>
            <w:r>
              <w:rPr>
                <w:rFonts w:ascii="Times New Roman" w:hAnsi="Times New Roman"/>
                <w:b w:val="0"/>
                <w:color w:val="000000"/>
                <w:sz w:val="20"/>
              </w:rPr>
              <w:t>Diagnóstico funcional</w:t>
            </w:r>
          </w:p>
        </w:tc>
        <w:tc>
          <w:tcPr>
            <w:tcW w:type="dxa" w:w="4252"/>
            <w:vAlign w:val="center"/>
          </w:tcPr>
          <w:p>
            <w:pPr>
              <w:jc w:val="left"/>
            </w:pPr>
            <w:r/>
            <w:r>
              <w:rPr>
                <w:rFonts w:ascii="Times New Roman" w:hAnsi="Times New Roman"/>
                <w:b w:val="0"/>
                <w:color w:val="000000"/>
                <w:sz w:val="20"/>
              </w:rPr>
              <w:t>BASE CONSOLIDADA BRECHA FUNCIONAL — SED 2025</w:t>
            </w:r>
          </w:p>
        </w:tc>
        <w:tc>
          <w:tcPr>
            <w:tcW w:type="dxa" w:w="2268"/>
            <w:vAlign w:val="center"/>
          </w:tcPr>
          <w:p>
            <w:pPr>
              <w:jc w:val="left"/>
            </w:pPr>
            <w:r/>
            <w:r>
              <w:rPr>
                <w:rFonts w:ascii="Times New Roman" w:hAnsi="Times New Roman"/>
                <w:b w:val="0"/>
                <w:color w:val="000000"/>
                <w:sz w:val="20"/>
              </w:rPr>
              <w:t>316 sedes · 23 tipologías</w:t>
            </w:r>
          </w:p>
        </w:tc>
      </w:tr>
      <w:tr>
        <w:tc>
          <w:tcPr>
            <w:tcW w:type="dxa" w:w="2835"/>
            <w:vAlign w:val="center"/>
          </w:tcPr>
          <w:p>
            <w:pPr>
              <w:jc w:val="left"/>
            </w:pPr>
            <w:r/>
            <w:r>
              <w:rPr>
                <w:rFonts w:ascii="Times New Roman" w:hAnsi="Times New Roman"/>
                <w:b w:val="0"/>
                <w:color w:val="000000"/>
                <w:sz w:val="20"/>
              </w:rPr>
              <w:t>Costos unitarios 2026</w:t>
            </w:r>
          </w:p>
        </w:tc>
        <w:tc>
          <w:tcPr>
            <w:tcW w:type="dxa" w:w="4252"/>
            <w:vAlign w:val="center"/>
          </w:tcPr>
          <w:p>
            <w:pPr>
              <w:jc w:val="left"/>
            </w:pPr>
            <w:r/>
            <w:r>
              <w:rPr>
                <w:rFonts w:ascii="Times New Roman" w:hAnsi="Times New Roman"/>
                <w:b w:val="0"/>
                <w:color w:val="000000"/>
                <w:sz w:val="20"/>
              </w:rPr>
              <w:t>Tabla de Costos PMIE 2026 — SED + Mercado de Obra 2025</w:t>
            </w:r>
          </w:p>
        </w:tc>
        <w:tc>
          <w:tcPr>
            <w:tcW w:type="dxa" w:w="2268"/>
            <w:vAlign w:val="center"/>
          </w:tcPr>
          <w:p>
            <w:pPr>
              <w:jc w:val="left"/>
            </w:pPr>
            <w:r/>
            <w:r>
              <w:rPr>
                <w:rFonts w:ascii="Times New Roman" w:hAnsi="Times New Roman"/>
                <w:b w:val="0"/>
                <w:color w:val="000000"/>
                <w:sz w:val="20"/>
              </w:rPr>
              <w:t>22 comunas + 15 corregimientos</w:t>
            </w:r>
          </w:p>
        </w:tc>
      </w:tr>
      <w:tr>
        <w:tc>
          <w:tcPr>
            <w:tcW w:type="dxa" w:w="2835"/>
            <w:vAlign w:val="center"/>
          </w:tcPr>
          <w:p>
            <w:pPr>
              <w:jc w:val="left"/>
            </w:pPr>
            <w:r/>
            <w:r>
              <w:rPr>
                <w:rFonts w:ascii="Times New Roman" w:hAnsi="Times New Roman"/>
                <w:b w:val="0"/>
                <w:color w:val="000000"/>
                <w:sz w:val="20"/>
              </w:rPr>
              <w:t>Cartografía SIG</w:t>
            </w:r>
          </w:p>
        </w:tc>
        <w:tc>
          <w:tcPr>
            <w:tcW w:type="dxa" w:w="4252"/>
            <w:vAlign w:val="center"/>
          </w:tcPr>
          <w:p>
            <w:pPr>
              <w:jc w:val="left"/>
            </w:pPr>
            <w:r/>
            <w:r>
              <w:rPr>
                <w:rFonts w:ascii="Times New Roman" w:hAnsi="Times New Roman"/>
                <w:b w:val="0"/>
                <w:color w:val="000000"/>
                <w:sz w:val="20"/>
              </w:rPr>
              <w:t>SIG-PMIE — diciembre 2025</w:t>
            </w:r>
          </w:p>
        </w:tc>
        <w:tc>
          <w:tcPr>
            <w:tcW w:type="dxa" w:w="2268"/>
            <w:vAlign w:val="center"/>
          </w:tcPr>
          <w:p>
            <w:pPr>
              <w:jc w:val="left"/>
            </w:pPr>
            <w:r/>
            <w:r>
              <w:rPr>
                <w:rFonts w:ascii="Times New Roman" w:hAnsi="Times New Roman"/>
                <w:b w:val="0"/>
                <w:color w:val="000000"/>
                <w:sz w:val="20"/>
              </w:rPr>
              <w:t>5 mapas temáticos</w:t>
            </w:r>
          </w:p>
        </w:tc>
      </w:tr>
      <w:tr>
        <w:tc>
          <w:tcPr>
            <w:tcW w:type="dxa" w:w="2835"/>
            <w:vAlign w:val="center"/>
          </w:tcPr>
          <w:p>
            <w:pPr>
              <w:jc w:val="left"/>
            </w:pPr>
            <w:r/>
            <w:r>
              <w:rPr>
                <w:rFonts w:ascii="Times New Roman" w:hAnsi="Times New Roman"/>
                <w:b w:val="0"/>
                <w:color w:val="000000"/>
                <w:sz w:val="20"/>
              </w:rPr>
              <w:t>Marco normativo</w:t>
            </w:r>
          </w:p>
        </w:tc>
        <w:tc>
          <w:tcPr>
            <w:tcW w:type="dxa" w:w="4252"/>
            <w:vAlign w:val="center"/>
          </w:tcPr>
          <w:p>
            <w:pPr>
              <w:jc w:val="left"/>
            </w:pPr>
            <w:r/>
            <w:r>
              <w:rPr>
                <w:rFonts w:ascii="Times New Roman" w:hAnsi="Times New Roman"/>
                <w:b w:val="0"/>
                <w:color w:val="000000"/>
                <w:sz w:val="20"/>
              </w:rPr>
              <w:t>Constitución, Leyes, Decretos, NTC</w:t>
            </w:r>
          </w:p>
        </w:tc>
        <w:tc>
          <w:tcPr>
            <w:tcW w:type="dxa" w:w="2268"/>
            <w:vAlign w:val="center"/>
          </w:tcPr>
          <w:p>
            <w:pPr>
              <w:jc w:val="left"/>
            </w:pPr>
            <w:r/>
            <w:r>
              <w:rPr>
                <w:rFonts w:ascii="Times New Roman" w:hAnsi="Times New Roman"/>
                <w:b w:val="0"/>
                <w:color w:val="000000"/>
                <w:sz w:val="20"/>
              </w:rPr>
              <w:t>Ver Tabla 2 y referencias</w:t>
            </w:r>
          </w:p>
        </w:tc>
      </w:tr>
      <w:tr>
        <w:tc>
          <w:tcPr>
            <w:tcW w:type="dxa" w:w="2835"/>
            <w:vAlign w:val="center"/>
          </w:tcPr>
          <w:p>
            <w:pPr>
              <w:jc w:val="left"/>
            </w:pPr>
            <w:r/>
            <w:r>
              <w:rPr>
                <w:rFonts w:ascii="Times New Roman" w:hAnsi="Times New Roman"/>
                <w:b w:val="0"/>
                <w:color w:val="000000"/>
                <w:sz w:val="20"/>
              </w:rPr>
              <w:t>Plan antecedente</w:t>
            </w:r>
          </w:p>
        </w:tc>
        <w:tc>
          <w:tcPr>
            <w:tcW w:type="dxa" w:w="4252"/>
            <w:vAlign w:val="center"/>
          </w:tcPr>
          <w:p>
            <w:pPr>
              <w:jc w:val="left"/>
            </w:pPr>
            <w:r/>
            <w:r>
              <w:rPr>
                <w:rFonts w:ascii="Times New Roman" w:hAnsi="Times New Roman"/>
                <w:b w:val="0"/>
                <w:color w:val="000000"/>
                <w:sz w:val="20"/>
              </w:rPr>
              <w:t>PMIE 2019 — Alcaldía/Banco Mundial/UniAndes</w:t>
            </w:r>
          </w:p>
        </w:tc>
        <w:tc>
          <w:tcPr>
            <w:tcW w:type="dxa" w:w="2268"/>
            <w:vAlign w:val="center"/>
          </w:tcPr>
          <w:p>
            <w:pPr>
              <w:jc w:val="left"/>
            </w:pPr>
            <w:r/>
            <w:r>
              <w:rPr>
                <w:rFonts w:ascii="Times New Roman" w:hAnsi="Times New Roman"/>
                <w:b w:val="0"/>
                <w:color w:val="000000"/>
                <w:sz w:val="20"/>
              </w:rPr>
              <w:t>Metodología base</w:t>
            </w:r>
          </w:p>
        </w:tc>
      </w:tr>
      <w:tr>
        <w:tc>
          <w:tcPr>
            <w:tcW w:type="dxa" w:w="2835"/>
            <w:vAlign w:val="center"/>
          </w:tcPr>
          <w:p>
            <w:pPr>
              <w:jc w:val="left"/>
            </w:pPr>
            <w:r/>
            <w:r>
              <w:rPr>
                <w:rFonts w:ascii="Times New Roman" w:hAnsi="Times New Roman"/>
                <w:b w:val="0"/>
                <w:color w:val="000000"/>
                <w:sz w:val="20"/>
              </w:rPr>
              <w:t>Modelo demográfico</w:t>
            </w:r>
          </w:p>
        </w:tc>
        <w:tc>
          <w:tcPr>
            <w:tcW w:type="dxa" w:w="4252"/>
            <w:vAlign w:val="center"/>
          </w:tcPr>
          <w:p>
            <w:pPr>
              <w:jc w:val="left"/>
            </w:pPr>
            <w:r/>
            <w:r>
              <w:rPr>
                <w:rFonts w:ascii="Times New Roman" w:hAnsi="Times New Roman"/>
                <w:b w:val="0"/>
                <w:color w:val="000000"/>
                <w:sz w:val="20"/>
              </w:rPr>
              <w:t>DANE-CNPV 2018 actualización 2025</w:t>
            </w:r>
          </w:p>
        </w:tc>
        <w:tc>
          <w:tcPr>
            <w:tcW w:type="dxa" w:w="2268"/>
            <w:vAlign w:val="center"/>
          </w:tcPr>
          <w:p>
            <w:pPr>
              <w:jc w:val="left"/>
            </w:pPr>
            <w:r/>
            <w:r>
              <w:rPr>
                <w:rFonts w:ascii="Times New Roman" w:hAnsi="Times New Roman"/>
                <w:b w:val="0"/>
                <w:color w:val="000000"/>
                <w:sz w:val="20"/>
              </w:rPr>
              <w:t>MCDE-T por sede</w:t>
            </w:r>
          </w:p>
        </w:tc>
      </w:tr>
    </w:tbl>
    <w:p>
      <w:pPr>
        <w:pStyle w:val="Heading2"/>
      </w:pPr>
      <w:r>
        <w:t>Anexo G — Actualizaciones metodológicas v2026</w:t>
      </w:r>
    </w:p>
    <w:p>
      <w:pPr>
        <w:jc w:val="both"/>
      </w:pPr>
      <w:r>
        <w:rPr>
          <w:rFonts w:ascii="Times New Roman" w:hAnsi="Times New Roman"/>
          <w:b w:val="0"/>
          <w:i w:val="0"/>
          <w:color w:val="000000"/>
          <w:sz w:val="22"/>
        </w:rPr>
        <w:t>Esta sección documenta las correcciones técnicas aplicadas a la Herramienta Consolidada durante el proceso iterativo de validación 2026, garantizando reproducibilidad de los resultados.</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Versión</w:t>
            </w:r>
          </w:p>
        </w:tc>
        <w:tc>
          <w:tcPr>
            <w:tcW w:type="dxa" w:w="6236"/>
            <w:shd w:val="clear" w:color="auto" w:fill="0F4761"/>
            <w:vAlign w:val="center"/>
          </w:tcPr>
          <w:p>
            <w:pPr>
              <w:jc w:val="center"/>
            </w:pPr>
            <w:r/>
            <w:r>
              <w:rPr>
                <w:rFonts w:ascii="Times New Roman" w:hAnsi="Times New Roman"/>
                <w:b/>
                <w:color w:val="FFFFFF"/>
                <w:sz w:val="20"/>
              </w:rPr>
              <w:t>Corrección aplicada</w:t>
            </w:r>
          </w:p>
        </w:tc>
      </w:tr>
      <w:tr>
        <w:tc>
          <w:tcPr>
            <w:tcW w:type="dxa" w:w="2835"/>
            <w:vAlign w:val="center"/>
          </w:tcPr>
          <w:p>
            <w:pPr>
              <w:jc w:val="left"/>
            </w:pPr>
            <w:r/>
            <w:r>
              <w:rPr>
                <w:rFonts w:ascii="Times New Roman" w:hAnsi="Times New Roman"/>
                <w:b w:val="0"/>
                <w:color w:val="000000"/>
                <w:sz w:val="20"/>
              </w:rPr>
              <w:t>G.1 Árbol oficial 11 nodos</w:t>
            </w:r>
          </w:p>
        </w:tc>
        <w:tc>
          <w:tcPr>
            <w:tcW w:type="dxa" w:w="6236"/>
            <w:vAlign w:val="center"/>
          </w:tcPr>
          <w:p>
            <w:pPr>
              <w:jc w:val="left"/>
            </w:pPr>
            <w:r/>
            <w:r>
              <w:rPr>
                <w:rFonts w:ascii="Times New Roman" w:hAnsi="Times New Roman"/>
                <w:b w:val="0"/>
                <w:color w:val="000000"/>
                <w:sz w:val="20"/>
              </w:rPr>
              <w:t>Implementación literal del documento «Árbol de decisión PMIE 2026»: 11 nodos N1–N5 con asignación múltiple a programas. Una sede puede caer simultáneamente en P3+P4, P1+P3, P5+P8, etc.</w:t>
            </w:r>
          </w:p>
        </w:tc>
      </w:tr>
      <w:tr>
        <w:tc>
          <w:tcPr>
            <w:tcW w:type="dxa" w:w="2835"/>
            <w:vAlign w:val="center"/>
          </w:tcPr>
          <w:p>
            <w:pPr>
              <w:jc w:val="left"/>
            </w:pPr>
            <w:r/>
            <w:r>
              <w:rPr>
                <w:rFonts w:ascii="Times New Roman" w:hAnsi="Times New Roman"/>
                <w:b w:val="0"/>
                <w:color w:val="000000"/>
                <w:sz w:val="20"/>
              </w:rPr>
              <w:t>G.2 Interpolación de calificaciones</w:t>
            </w:r>
          </w:p>
        </w:tc>
        <w:tc>
          <w:tcPr>
            <w:tcW w:type="dxa" w:w="6236"/>
            <w:vAlign w:val="center"/>
          </w:tcPr>
          <w:p>
            <w:pPr>
              <w:jc w:val="left"/>
            </w:pPr>
            <w:r/>
            <w:r>
              <w:rPr>
                <w:rFonts w:ascii="Times New Roman" w:hAnsi="Times New Roman"/>
                <w:b w:val="0"/>
                <w:color w:val="000000"/>
                <w:sz w:val="20"/>
              </w:rPr>
              <w:t>El archivo BASE CONSOLIDADA entrega calificaciones decimales (promedios por bloque). Antes el código fallaba a factor=1,0 por defecto inflando BF. Ahora interpola linealmente entre 1,0→100% y 4,0→25%.</w:t>
            </w:r>
          </w:p>
        </w:tc>
      </w:tr>
      <w:tr>
        <w:tc>
          <w:tcPr>
            <w:tcW w:type="dxa" w:w="2835"/>
            <w:vAlign w:val="center"/>
          </w:tcPr>
          <w:p>
            <w:pPr>
              <w:jc w:val="left"/>
            </w:pPr>
            <w:r/>
            <w:r>
              <w:rPr>
                <w:rFonts w:ascii="Times New Roman" w:hAnsi="Times New Roman"/>
                <w:b w:val="0"/>
                <w:color w:val="000000"/>
                <w:sz w:val="20"/>
              </w:rPr>
              <w:t>G.3 Cobertura NO OFICIAL</w:t>
            </w:r>
          </w:p>
        </w:tc>
        <w:tc>
          <w:tcPr>
            <w:tcW w:type="dxa" w:w="6236"/>
            <w:vAlign w:val="center"/>
          </w:tcPr>
          <w:p>
            <w:pPr>
              <w:jc w:val="left"/>
            </w:pPr>
            <w:r/>
            <w:r>
              <w:rPr>
                <w:rFonts w:ascii="Times New Roman" w:hAnsi="Times New Roman"/>
                <w:b w:val="0"/>
                <w:color w:val="000000"/>
                <w:sz w:val="20"/>
              </w:rPr>
              <w:t>P1 incluye matrícula NO OFICIAL: Área = mat × 5,36 m² · Costo = Área × (Predio + Constr.) × FD × IPC × 1,14. Detalle por comuna receptora.</w:t>
            </w:r>
          </w:p>
        </w:tc>
      </w:tr>
      <w:tr>
        <w:tc>
          <w:tcPr>
            <w:tcW w:type="dxa" w:w="2835"/>
            <w:vAlign w:val="center"/>
          </w:tcPr>
          <w:p>
            <w:pPr>
              <w:jc w:val="left"/>
            </w:pPr>
            <w:r/>
            <w:r>
              <w:rPr>
                <w:rFonts w:ascii="Times New Roman" w:hAnsi="Times New Roman"/>
                <w:b w:val="0"/>
                <w:color w:val="000000"/>
                <w:sz w:val="20"/>
              </w:rPr>
              <w:t>G.4 BC sin doble overhead</w:t>
            </w:r>
          </w:p>
        </w:tc>
        <w:tc>
          <w:tcPr>
            <w:tcW w:type="dxa" w:w="6236"/>
            <w:vAlign w:val="center"/>
          </w:tcPr>
          <w:p>
            <w:pPr>
              <w:jc w:val="left"/>
            </w:pPr>
            <w:r/>
            <w:r>
              <w:rPr>
                <w:rFonts w:ascii="Times New Roman" w:hAnsi="Times New Roman"/>
                <w:b w:val="0"/>
                <w:color w:val="000000"/>
                <w:sz w:val="20"/>
              </w:rPr>
              <w:t>BF ya incluye el 14% internamente (módulo H3); BE lo recibe en runTree; el predio no recibe 14% (no aplica a compra de tierra).</w:t>
            </w:r>
          </w:p>
        </w:tc>
      </w:tr>
      <w:tr>
        <w:tc>
          <w:tcPr>
            <w:tcW w:type="dxa" w:w="2835"/>
            <w:vAlign w:val="center"/>
          </w:tcPr>
          <w:p>
            <w:pPr>
              <w:jc w:val="left"/>
            </w:pPr>
            <w:r/>
            <w:r>
              <w:rPr>
                <w:rFonts w:ascii="Times New Roman" w:hAnsi="Times New Roman"/>
                <w:b w:val="0"/>
                <w:color w:val="000000"/>
                <w:sz w:val="20"/>
              </w:rPr>
              <w:t>G.5 N1a con recon dinámico</w:t>
            </w:r>
          </w:p>
        </w:tc>
        <w:tc>
          <w:tcPr>
            <w:tcW w:type="dxa" w:w="6236"/>
            <w:vAlign w:val="center"/>
          </w:tcPr>
          <w:p>
            <w:pPr>
              <w:jc w:val="left"/>
            </w:pPr>
            <w:r/>
            <w:r>
              <w:rPr>
                <w:rFonts w:ascii="Times New Roman" w:hAnsi="Times New Roman"/>
                <w:b w:val="0"/>
                <w:color w:val="000000"/>
                <w:sz w:val="20"/>
              </w:rPr>
              <w:t>VR Reconstrucción se calcula como Área_actual × VR_constr × FD × IPC × 1,14 — responde a cambios en la Tabla de Costos cargada.</w:t>
            </w:r>
          </w:p>
        </w:tc>
      </w:tr>
      <w:tr>
        <w:tc>
          <w:tcPr>
            <w:tcW w:type="dxa" w:w="2835"/>
            <w:vAlign w:val="center"/>
          </w:tcPr>
          <w:p>
            <w:pPr>
              <w:jc w:val="left"/>
            </w:pPr>
            <w:r/>
            <w:r>
              <w:rPr>
                <w:rFonts w:ascii="Times New Roman" w:hAnsi="Times New Roman"/>
                <w:b w:val="0"/>
                <w:color w:val="000000"/>
                <w:sz w:val="20"/>
              </w:rPr>
              <w:t>G.6 N5 ampliado</w:t>
            </w:r>
          </w:p>
        </w:tc>
        <w:tc>
          <w:tcPr>
            <w:tcW w:type="dxa" w:w="6236"/>
            <w:vAlign w:val="center"/>
          </w:tcPr>
          <w:p>
            <w:pPr>
              <w:jc w:val="left"/>
            </w:pPr>
            <w:r/>
            <w:r>
              <w:rPr>
                <w:rFonts w:ascii="Times New Roman" w:hAnsi="Times New Roman"/>
                <w:b w:val="0"/>
                <w:color w:val="000000"/>
                <w:sz w:val="20"/>
              </w:rPr>
              <w:t>Riesgo estructural dispara P2 con CRÍTICA o MUY ALTA (175 sedes). Fallback: BE/recon ≥ 0,40 si no hay texto de urgencia.</w:t>
            </w:r>
          </w:p>
        </w:tc>
      </w:tr>
      <w:tr>
        <w:tc>
          <w:tcPr>
            <w:tcW w:type="dxa" w:w="2835"/>
            <w:vAlign w:val="center"/>
          </w:tcPr>
          <w:p>
            <w:pPr>
              <w:jc w:val="left"/>
            </w:pPr>
            <w:r/>
            <w:r>
              <w:rPr>
                <w:rFonts w:ascii="Times New Roman" w:hAnsi="Times New Roman"/>
                <w:b w:val="0"/>
                <w:color w:val="000000"/>
                <w:sz w:val="20"/>
              </w:rPr>
              <w:t>G.7 Detección dinámica de columnas</w:t>
            </w:r>
          </w:p>
        </w:tc>
        <w:tc>
          <w:tcPr>
            <w:tcW w:type="dxa" w:w="6236"/>
            <w:vAlign w:val="center"/>
          </w:tcPr>
          <w:p>
            <w:pPr>
              <w:jc w:val="left"/>
            </w:pPr>
            <w:r/>
            <w:r>
              <w:rPr>
                <w:rFonts w:ascii="Times New Roman" w:hAnsi="Times New Roman"/>
                <w:b w:val="0"/>
                <w:color w:val="000000"/>
                <w:sz w:val="20"/>
              </w:rPr>
              <w:t>Parsers de matrícula detectan DANE, SECTOR, TOTAL, NOMBRE y COMUNA por encabezado en las primeras 5 filas.</w:t>
            </w:r>
          </w:p>
        </w:tc>
      </w:tr>
      <w:tr>
        <w:tc>
          <w:tcPr>
            <w:tcW w:type="dxa" w:w="2835"/>
            <w:vAlign w:val="center"/>
          </w:tcPr>
          <w:p>
            <w:pPr>
              <w:jc w:val="left"/>
            </w:pPr>
            <w:r/>
            <w:r>
              <w:rPr>
                <w:rFonts w:ascii="Times New Roman" w:hAnsi="Times New Roman"/>
                <w:b w:val="0"/>
                <w:color w:val="000000"/>
                <w:sz w:val="20"/>
              </w:rPr>
              <w:t>G.8 Auto-aplicación de proyección</w:t>
            </w:r>
          </w:p>
        </w:tc>
        <w:tc>
          <w:tcPr>
            <w:tcW w:type="dxa" w:w="6236"/>
            <w:vAlign w:val="center"/>
          </w:tcPr>
          <w:p>
            <w:pPr>
              <w:jc w:val="left"/>
            </w:pPr>
            <w:r/>
            <w:r>
              <w:rPr>
                <w:rFonts w:ascii="Times New Roman" w:hAnsi="Times New Roman"/>
                <w:b w:val="0"/>
                <w:color w:val="000000"/>
                <w:sz w:val="20"/>
              </w:rPr>
              <w:t>La matrícula proyectada se aplica automáticamente al cargar archivos. runTree() la re-aplica al inicio garantizando orden-independencia.</w:t>
            </w:r>
          </w:p>
        </w:tc>
      </w:tr>
      <w:tr>
        <w:tc>
          <w:tcPr>
            <w:tcW w:type="dxa" w:w="2835"/>
            <w:vAlign w:val="center"/>
          </w:tcPr>
          <w:p>
            <w:pPr>
              <w:jc w:val="left"/>
            </w:pPr>
            <w:r/>
            <w:r>
              <w:rPr>
                <w:rFonts w:ascii="Times New Roman" w:hAnsi="Times New Roman"/>
                <w:b w:val="0"/>
                <w:color w:val="000000"/>
                <w:sz w:val="20"/>
              </w:rPr>
              <w:t>G.9 Reconciliación por rama</w:t>
            </w:r>
          </w:p>
        </w:tc>
        <w:tc>
          <w:tcPr>
            <w:tcW w:type="dxa" w:w="6236"/>
            <w:vAlign w:val="center"/>
          </w:tcPr>
          <w:p>
            <w:pPr>
              <w:jc w:val="left"/>
            </w:pPr>
            <w:r/>
            <w:r>
              <w:rPr>
                <w:rFonts w:ascii="Times New Roman" w:hAnsi="Times New Roman"/>
                <w:b w:val="0"/>
                <w:color w:val="000000"/>
                <w:sz w:val="20"/>
              </w:rPr>
              <w:t>Cada sede recibe s.rama ∈ {Q12-N1a, Q345-rural-N1a, Q345-princ-N1a, Q345-N4a, SIN_MAT}. Conteos no solapados.</w:t>
            </w:r>
          </w:p>
        </w:tc>
      </w:tr>
    </w:tbl>
    <w:p>
      <w:pPr>
        <w:pStyle w:val="Heading2"/>
      </w:pPr>
      <w:r>
        <w:t>Anexo H — Matriz de cumplimiento NTC 6705:2023</w:t>
      </w:r>
    </w:p>
    <w:p>
      <w:pPr>
        <w:jc w:val="both"/>
      </w:pPr>
      <w:r>
        <w:rPr>
          <w:rFonts w:ascii="Times New Roman" w:hAnsi="Times New Roman"/>
          <w:b w:val="0"/>
          <w:i/>
          <w:color w:val="0F4761"/>
          <w:sz w:val="20"/>
        </w:rPr>
        <w:t>Tabla 28. Matriz de cumplimiento del PMIE 2026 frente a los requisitos de la NTC 6705:2023.</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Requisito NTC 6705:2023</w:t>
            </w:r>
          </w:p>
        </w:tc>
        <w:tc>
          <w:tcPr>
            <w:tcW w:type="dxa" w:w="3685"/>
            <w:shd w:val="clear" w:color="auto" w:fill="0F4761"/>
            <w:vAlign w:val="center"/>
          </w:tcPr>
          <w:p>
            <w:pPr>
              <w:jc w:val="center"/>
            </w:pPr>
            <w:r/>
            <w:r>
              <w:rPr>
                <w:rFonts w:ascii="Times New Roman" w:hAnsi="Times New Roman"/>
                <w:b/>
                <w:color w:val="FFFFFF"/>
                <w:sz w:val="20"/>
              </w:rPr>
              <w:t>Implementación en el PMIE 2026</w:t>
            </w:r>
          </w:p>
        </w:tc>
        <w:tc>
          <w:tcPr>
            <w:tcW w:type="dxa" w:w="2268"/>
            <w:shd w:val="clear" w:color="auto" w:fill="0F4761"/>
            <w:vAlign w:val="center"/>
          </w:tcPr>
          <w:p>
            <w:pPr>
              <w:jc w:val="center"/>
            </w:pPr>
            <w:r/>
            <w:r>
              <w:rPr>
                <w:rFonts w:ascii="Times New Roman" w:hAnsi="Times New Roman"/>
                <w:b/>
                <w:color w:val="FFFFFF"/>
                <w:sz w:val="20"/>
              </w:rPr>
              <w:t>Cumplimiento</w:t>
            </w:r>
          </w:p>
        </w:tc>
      </w:tr>
      <w:tr>
        <w:tc>
          <w:tcPr>
            <w:tcW w:type="dxa" w:w="3402"/>
            <w:vAlign w:val="center"/>
          </w:tcPr>
          <w:p>
            <w:pPr>
              <w:jc w:val="left"/>
            </w:pPr>
            <w:r/>
            <w:r>
              <w:rPr>
                <w:rFonts w:ascii="Times New Roman" w:hAnsi="Times New Roman"/>
                <w:b w:val="0"/>
                <w:color w:val="000000"/>
                <w:sz w:val="20"/>
              </w:rPr>
              <w:t>3.1 Términos y definiciones</w:t>
            </w:r>
          </w:p>
        </w:tc>
        <w:tc>
          <w:tcPr>
            <w:tcW w:type="dxa" w:w="3685"/>
            <w:vAlign w:val="center"/>
          </w:tcPr>
          <w:p>
            <w:pPr>
              <w:jc w:val="left"/>
            </w:pPr>
            <w:r/>
            <w:r>
              <w:rPr>
                <w:rFonts w:ascii="Times New Roman" w:hAnsi="Times New Roman"/>
                <w:b w:val="0"/>
                <w:color w:val="000000"/>
                <w:sz w:val="20"/>
              </w:rPr>
              <w:t>Glosario consolidado (25 términos)</w:t>
            </w:r>
          </w:p>
        </w:tc>
        <w:tc>
          <w:tcPr>
            <w:tcW w:type="dxa" w:w="2268"/>
            <w:vAlign w:val="center"/>
          </w:tcPr>
          <w:p>
            <w:pPr>
              <w:jc w:val="left"/>
            </w:pPr>
            <w:r/>
            <w:r>
              <w:rPr>
                <w:rFonts w:ascii="Times New Roman" w:hAnsi="Times New Roman"/>
                <w:b w:val="0"/>
                <w:color w:val="000000"/>
                <w:sz w:val="20"/>
              </w:rPr>
              <w:t>✓ Cumple — ver Tabla 25</w:t>
            </w:r>
          </w:p>
        </w:tc>
      </w:tr>
      <w:tr>
        <w:tc>
          <w:tcPr>
            <w:tcW w:type="dxa" w:w="3402"/>
            <w:vAlign w:val="center"/>
          </w:tcPr>
          <w:p>
            <w:pPr>
              <w:jc w:val="left"/>
            </w:pPr>
            <w:r/>
            <w:r>
              <w:rPr>
                <w:rFonts w:ascii="Times New Roman" w:hAnsi="Times New Roman"/>
                <w:b w:val="0"/>
                <w:color w:val="000000"/>
                <w:sz w:val="20"/>
              </w:rPr>
              <w:t>4.1 Diagnóstico territorial</w:t>
            </w:r>
          </w:p>
        </w:tc>
        <w:tc>
          <w:tcPr>
            <w:tcW w:type="dxa" w:w="3685"/>
            <w:vAlign w:val="center"/>
          </w:tcPr>
          <w:p>
            <w:pPr>
              <w:jc w:val="left"/>
            </w:pPr>
            <w:r/>
            <w:r>
              <w:rPr>
                <w:rFonts w:ascii="Times New Roman" w:hAnsi="Times New Roman"/>
                <w:b w:val="0"/>
                <w:color w:val="000000"/>
                <w:sz w:val="20"/>
              </w:rPr>
              <w:t>Cartografía SIG-PMIE (5 mapas)</w:t>
            </w:r>
          </w:p>
        </w:tc>
        <w:tc>
          <w:tcPr>
            <w:tcW w:type="dxa" w:w="2268"/>
            <w:vAlign w:val="center"/>
          </w:tcPr>
          <w:p>
            <w:pPr>
              <w:jc w:val="left"/>
            </w:pPr>
            <w:r/>
            <w:r>
              <w:rPr>
                <w:rFonts w:ascii="Times New Roman" w:hAnsi="Times New Roman"/>
                <w:b w:val="0"/>
                <w:color w:val="000000"/>
                <w:sz w:val="20"/>
              </w:rPr>
              <w:t>✓ Cumple — Anexo A</w:t>
            </w:r>
          </w:p>
        </w:tc>
      </w:tr>
      <w:tr>
        <w:tc>
          <w:tcPr>
            <w:tcW w:type="dxa" w:w="3402"/>
            <w:vAlign w:val="center"/>
          </w:tcPr>
          <w:p>
            <w:pPr>
              <w:jc w:val="left"/>
            </w:pPr>
            <w:r/>
            <w:r>
              <w:rPr>
                <w:rFonts w:ascii="Times New Roman" w:hAnsi="Times New Roman"/>
                <w:b w:val="0"/>
                <w:color w:val="000000"/>
                <w:sz w:val="20"/>
              </w:rPr>
              <w:t>4.2 Inventario de sedes</w:t>
            </w:r>
          </w:p>
        </w:tc>
        <w:tc>
          <w:tcPr>
            <w:tcW w:type="dxa" w:w="3685"/>
            <w:vAlign w:val="center"/>
          </w:tcPr>
          <w:p>
            <w:pPr>
              <w:jc w:val="left"/>
            </w:pPr>
            <w:r/>
            <w:r>
              <w:rPr>
                <w:rFonts w:ascii="Times New Roman" w:hAnsi="Times New Roman"/>
                <w:b w:val="0"/>
                <w:color w:val="000000"/>
                <w:sz w:val="20"/>
              </w:rPr>
              <w:t>316 sedes con levantamiento integral</w:t>
            </w:r>
          </w:p>
        </w:tc>
        <w:tc>
          <w:tcPr>
            <w:tcW w:type="dxa" w:w="2268"/>
            <w:vAlign w:val="center"/>
          </w:tcPr>
          <w:p>
            <w:pPr>
              <w:jc w:val="left"/>
            </w:pPr>
            <w:r/>
            <w:r>
              <w:rPr>
                <w:rFonts w:ascii="Times New Roman" w:hAnsi="Times New Roman"/>
                <w:b w:val="0"/>
                <w:color w:val="000000"/>
                <w:sz w:val="20"/>
              </w:rPr>
              <w:t>✓ Cumple — Tabla 8</w:t>
            </w:r>
          </w:p>
        </w:tc>
      </w:tr>
      <w:tr>
        <w:tc>
          <w:tcPr>
            <w:tcW w:type="dxa" w:w="3402"/>
            <w:vAlign w:val="center"/>
          </w:tcPr>
          <w:p>
            <w:pPr>
              <w:jc w:val="left"/>
            </w:pPr>
            <w:r/>
            <w:r>
              <w:rPr>
                <w:rFonts w:ascii="Times New Roman" w:hAnsi="Times New Roman"/>
                <w:b w:val="0"/>
                <w:color w:val="000000"/>
                <w:sz w:val="20"/>
              </w:rPr>
              <w:t>4.3 Análisis estructural</w:t>
            </w:r>
          </w:p>
        </w:tc>
        <w:tc>
          <w:tcPr>
            <w:tcW w:type="dxa" w:w="3685"/>
            <w:vAlign w:val="center"/>
          </w:tcPr>
          <w:p>
            <w:pPr>
              <w:jc w:val="left"/>
            </w:pPr>
            <w:r/>
            <w:r>
              <w:rPr>
                <w:rFonts w:ascii="Times New Roman" w:hAnsi="Times New Roman"/>
                <w:b w:val="0"/>
                <w:color w:val="000000"/>
                <w:sz w:val="20"/>
              </w:rPr>
              <w:t>NSR-10 sobre 312 sedes/1.480 bloques</w:t>
            </w:r>
          </w:p>
        </w:tc>
        <w:tc>
          <w:tcPr>
            <w:tcW w:type="dxa" w:w="2268"/>
            <w:vAlign w:val="center"/>
          </w:tcPr>
          <w:p>
            <w:pPr>
              <w:jc w:val="left"/>
            </w:pPr>
            <w:r/>
            <w:r>
              <w:rPr>
                <w:rFonts w:ascii="Times New Roman" w:hAnsi="Times New Roman"/>
                <w:b w:val="0"/>
                <w:color w:val="000000"/>
                <w:sz w:val="20"/>
              </w:rPr>
              <w:t>✓ Cumple — Tabla 9</w:t>
            </w:r>
          </w:p>
        </w:tc>
      </w:tr>
      <w:tr>
        <w:tc>
          <w:tcPr>
            <w:tcW w:type="dxa" w:w="3402"/>
            <w:vAlign w:val="center"/>
          </w:tcPr>
          <w:p>
            <w:pPr>
              <w:jc w:val="left"/>
            </w:pPr>
            <w:r/>
            <w:r>
              <w:rPr>
                <w:rFonts w:ascii="Times New Roman" w:hAnsi="Times New Roman"/>
                <w:b w:val="0"/>
                <w:color w:val="000000"/>
                <w:sz w:val="20"/>
              </w:rPr>
              <w:t>4.4 Análisis funcional</w:t>
            </w:r>
          </w:p>
        </w:tc>
        <w:tc>
          <w:tcPr>
            <w:tcW w:type="dxa" w:w="3685"/>
            <w:vAlign w:val="center"/>
          </w:tcPr>
          <w:p>
            <w:pPr>
              <w:jc w:val="left"/>
            </w:pPr>
            <w:r/>
            <w:r>
              <w:rPr>
                <w:rFonts w:ascii="Times New Roman" w:hAnsi="Times New Roman"/>
                <w:b w:val="0"/>
                <w:color w:val="000000"/>
                <w:sz w:val="20"/>
              </w:rPr>
              <w:t>NTC 4595 con 23 tipologías</w:t>
            </w:r>
          </w:p>
        </w:tc>
        <w:tc>
          <w:tcPr>
            <w:tcW w:type="dxa" w:w="2268"/>
            <w:vAlign w:val="center"/>
          </w:tcPr>
          <w:p>
            <w:pPr>
              <w:jc w:val="left"/>
            </w:pPr>
            <w:r/>
            <w:r>
              <w:rPr>
                <w:rFonts w:ascii="Times New Roman" w:hAnsi="Times New Roman"/>
                <w:b w:val="0"/>
                <w:color w:val="000000"/>
                <w:sz w:val="20"/>
              </w:rPr>
              <w:t>✓ Cumple — Tablas 10–11</w:t>
            </w:r>
          </w:p>
        </w:tc>
      </w:tr>
      <w:tr>
        <w:tc>
          <w:tcPr>
            <w:tcW w:type="dxa" w:w="3402"/>
            <w:vAlign w:val="center"/>
          </w:tcPr>
          <w:p>
            <w:pPr>
              <w:jc w:val="left"/>
            </w:pPr>
            <w:r/>
            <w:r>
              <w:rPr>
                <w:rFonts w:ascii="Times New Roman" w:hAnsi="Times New Roman"/>
                <w:b w:val="0"/>
                <w:color w:val="000000"/>
                <w:sz w:val="20"/>
              </w:rPr>
              <w:t>4.5 Análisis de capacidad</w:t>
            </w:r>
          </w:p>
        </w:tc>
        <w:tc>
          <w:tcPr>
            <w:tcW w:type="dxa" w:w="3685"/>
            <w:vAlign w:val="center"/>
          </w:tcPr>
          <w:p>
            <w:pPr>
              <w:jc w:val="left"/>
            </w:pPr>
            <w:r/>
            <w:r>
              <w:rPr>
                <w:rFonts w:ascii="Times New Roman" w:hAnsi="Times New Roman"/>
                <w:b w:val="0"/>
                <w:color w:val="000000"/>
                <w:sz w:val="20"/>
              </w:rPr>
              <w:t>Estándar 5,36 m²/est — déficit 500K m²</w:t>
            </w:r>
          </w:p>
        </w:tc>
        <w:tc>
          <w:tcPr>
            <w:tcW w:type="dxa" w:w="2268"/>
            <w:vAlign w:val="center"/>
          </w:tcPr>
          <w:p>
            <w:pPr>
              <w:jc w:val="left"/>
            </w:pPr>
            <w:r/>
            <w:r>
              <w:rPr>
                <w:rFonts w:ascii="Times New Roman" w:hAnsi="Times New Roman"/>
                <w:b w:val="0"/>
                <w:color w:val="000000"/>
                <w:sz w:val="20"/>
              </w:rPr>
              <w:t>✓ Cumple — Sección 5.3</w:t>
            </w:r>
          </w:p>
        </w:tc>
      </w:tr>
      <w:tr>
        <w:tc>
          <w:tcPr>
            <w:tcW w:type="dxa" w:w="3402"/>
            <w:vAlign w:val="center"/>
          </w:tcPr>
          <w:p>
            <w:pPr>
              <w:jc w:val="left"/>
            </w:pPr>
            <w:r/>
            <w:r>
              <w:rPr>
                <w:rFonts w:ascii="Times New Roman" w:hAnsi="Times New Roman"/>
                <w:b w:val="0"/>
                <w:color w:val="000000"/>
                <w:sz w:val="20"/>
              </w:rPr>
              <w:t>5.1 Cálculo de brechas</w:t>
            </w:r>
          </w:p>
        </w:tc>
        <w:tc>
          <w:tcPr>
            <w:tcW w:type="dxa" w:w="3685"/>
            <w:vAlign w:val="center"/>
          </w:tcPr>
          <w:p>
            <w:pPr>
              <w:jc w:val="left"/>
            </w:pPr>
            <w:r/>
            <w:r>
              <w:rPr>
                <w:rFonts w:ascii="Times New Roman" w:hAnsi="Times New Roman"/>
                <w:b w:val="0"/>
                <w:color w:val="000000"/>
                <w:sz w:val="20"/>
              </w:rPr>
              <w:t>BF, BE, BC, cobertura NO OFICIAL</w:t>
            </w:r>
          </w:p>
        </w:tc>
        <w:tc>
          <w:tcPr>
            <w:tcW w:type="dxa" w:w="2268"/>
            <w:vAlign w:val="center"/>
          </w:tcPr>
          <w:p>
            <w:pPr>
              <w:jc w:val="left"/>
            </w:pPr>
            <w:r/>
            <w:r>
              <w:rPr>
                <w:rFonts w:ascii="Times New Roman" w:hAnsi="Times New Roman"/>
                <w:b w:val="0"/>
                <w:color w:val="000000"/>
                <w:sz w:val="20"/>
              </w:rPr>
              <w:t>✓ Cumple — Tabla 13</w:t>
            </w:r>
          </w:p>
        </w:tc>
      </w:tr>
      <w:tr>
        <w:tc>
          <w:tcPr>
            <w:tcW w:type="dxa" w:w="3402"/>
            <w:vAlign w:val="center"/>
          </w:tcPr>
          <w:p>
            <w:pPr>
              <w:jc w:val="left"/>
            </w:pPr>
            <w:r/>
            <w:r>
              <w:rPr>
                <w:rFonts w:ascii="Times New Roman" w:hAnsi="Times New Roman"/>
                <w:b w:val="0"/>
                <w:color w:val="000000"/>
                <w:sz w:val="20"/>
              </w:rPr>
              <w:t>5.2 Criterios de priorización</w:t>
            </w:r>
          </w:p>
        </w:tc>
        <w:tc>
          <w:tcPr>
            <w:tcW w:type="dxa" w:w="3685"/>
            <w:vAlign w:val="center"/>
          </w:tcPr>
          <w:p>
            <w:pPr>
              <w:jc w:val="left"/>
            </w:pPr>
            <w:r/>
            <w:r>
              <w:rPr>
                <w:rFonts w:ascii="Times New Roman" w:hAnsi="Times New Roman"/>
                <w:b w:val="0"/>
                <w:color w:val="000000"/>
                <w:sz w:val="20"/>
              </w:rPr>
              <w:t>4 dimensiones × 11 nodos × 3 parámetros</w:t>
            </w:r>
          </w:p>
        </w:tc>
        <w:tc>
          <w:tcPr>
            <w:tcW w:type="dxa" w:w="2268"/>
            <w:vAlign w:val="center"/>
          </w:tcPr>
          <w:p>
            <w:pPr>
              <w:jc w:val="left"/>
            </w:pPr>
            <w:r/>
            <w:r>
              <w:rPr>
                <w:rFonts w:ascii="Times New Roman" w:hAnsi="Times New Roman"/>
                <w:b w:val="0"/>
                <w:color w:val="000000"/>
                <w:sz w:val="20"/>
              </w:rPr>
              <w:t>✓ Cumple — Capítulo 7</w:t>
            </w:r>
          </w:p>
        </w:tc>
      </w:tr>
      <w:tr>
        <w:tc>
          <w:tcPr>
            <w:tcW w:type="dxa" w:w="3402"/>
            <w:vAlign w:val="center"/>
          </w:tcPr>
          <w:p>
            <w:pPr>
              <w:jc w:val="left"/>
            </w:pPr>
            <w:r/>
            <w:r>
              <w:rPr>
                <w:rFonts w:ascii="Times New Roman" w:hAnsi="Times New Roman"/>
                <w:b w:val="0"/>
                <w:color w:val="000000"/>
                <w:sz w:val="20"/>
              </w:rPr>
              <w:t>6.1 Programación de inversiones</w:t>
            </w:r>
          </w:p>
        </w:tc>
        <w:tc>
          <w:tcPr>
            <w:tcW w:type="dxa" w:w="3685"/>
            <w:vAlign w:val="center"/>
          </w:tcPr>
          <w:p>
            <w:pPr>
              <w:jc w:val="left"/>
            </w:pPr>
            <w:r/>
            <w:r>
              <w:rPr>
                <w:rFonts w:ascii="Times New Roman" w:hAnsi="Times New Roman"/>
                <w:b w:val="0"/>
                <w:color w:val="000000"/>
                <w:sz w:val="20"/>
              </w:rPr>
              <w:t>Plan Indicativo 2026–2039</w:t>
            </w:r>
          </w:p>
        </w:tc>
        <w:tc>
          <w:tcPr>
            <w:tcW w:type="dxa" w:w="2268"/>
            <w:vAlign w:val="center"/>
          </w:tcPr>
          <w:p>
            <w:pPr>
              <w:jc w:val="left"/>
            </w:pPr>
            <w:r/>
            <w:r>
              <w:rPr>
                <w:rFonts w:ascii="Times New Roman" w:hAnsi="Times New Roman"/>
                <w:b w:val="0"/>
                <w:color w:val="000000"/>
                <w:sz w:val="20"/>
              </w:rPr>
              <w:t>✓ Cumple — Tabla 24</w:t>
            </w:r>
          </w:p>
        </w:tc>
      </w:tr>
      <w:tr>
        <w:tc>
          <w:tcPr>
            <w:tcW w:type="dxa" w:w="3402"/>
            <w:vAlign w:val="center"/>
          </w:tcPr>
          <w:p>
            <w:pPr>
              <w:jc w:val="left"/>
            </w:pPr>
            <w:r/>
            <w:r>
              <w:rPr>
                <w:rFonts w:ascii="Times New Roman" w:hAnsi="Times New Roman"/>
                <w:b w:val="0"/>
                <w:color w:val="000000"/>
                <w:sz w:val="20"/>
              </w:rPr>
              <w:t>6.2 Costos unitarios</w:t>
            </w:r>
          </w:p>
        </w:tc>
        <w:tc>
          <w:tcPr>
            <w:tcW w:type="dxa" w:w="3685"/>
            <w:vAlign w:val="center"/>
          </w:tcPr>
          <w:p>
            <w:pPr>
              <w:jc w:val="left"/>
            </w:pPr>
            <w:r/>
            <w:r>
              <w:rPr>
                <w:rFonts w:ascii="Times New Roman" w:hAnsi="Times New Roman"/>
                <w:b w:val="0"/>
                <w:color w:val="000000"/>
                <w:sz w:val="20"/>
              </w:rPr>
              <w:t>Tabla 26 + algoritmos detallados</w:t>
            </w:r>
          </w:p>
        </w:tc>
        <w:tc>
          <w:tcPr>
            <w:tcW w:type="dxa" w:w="2268"/>
            <w:vAlign w:val="center"/>
          </w:tcPr>
          <w:p>
            <w:pPr>
              <w:jc w:val="left"/>
            </w:pPr>
            <w:r/>
            <w:r>
              <w:rPr>
                <w:rFonts w:ascii="Times New Roman" w:hAnsi="Times New Roman"/>
                <w:b w:val="0"/>
                <w:color w:val="000000"/>
                <w:sz w:val="20"/>
              </w:rPr>
              <w:t>✓ Cumple — Sección 8.1</w:t>
            </w:r>
          </w:p>
        </w:tc>
      </w:tr>
      <w:tr>
        <w:tc>
          <w:tcPr>
            <w:tcW w:type="dxa" w:w="3402"/>
            <w:vAlign w:val="center"/>
          </w:tcPr>
          <w:p>
            <w:pPr>
              <w:jc w:val="left"/>
            </w:pPr>
            <w:r/>
            <w:r>
              <w:rPr>
                <w:rFonts w:ascii="Times New Roman" w:hAnsi="Times New Roman"/>
                <w:b w:val="0"/>
                <w:color w:val="000000"/>
                <w:sz w:val="20"/>
              </w:rPr>
              <w:t>7.1 Fuentes de financiación</w:t>
            </w:r>
          </w:p>
        </w:tc>
        <w:tc>
          <w:tcPr>
            <w:tcW w:type="dxa" w:w="3685"/>
            <w:vAlign w:val="center"/>
          </w:tcPr>
          <w:p>
            <w:pPr>
              <w:jc w:val="left"/>
            </w:pPr>
            <w:r/>
            <w:r>
              <w:rPr>
                <w:rFonts w:ascii="Times New Roman" w:hAnsi="Times New Roman"/>
                <w:b w:val="0"/>
                <w:color w:val="000000"/>
                <w:sz w:val="20"/>
              </w:rPr>
              <w:t>SGP, FFIE, BPIN, cooperación, APP</w:t>
            </w:r>
          </w:p>
        </w:tc>
        <w:tc>
          <w:tcPr>
            <w:tcW w:type="dxa" w:w="2268"/>
            <w:vAlign w:val="center"/>
          </w:tcPr>
          <w:p>
            <w:pPr>
              <w:jc w:val="left"/>
            </w:pPr>
            <w:r/>
            <w:r>
              <w:rPr>
                <w:rFonts w:ascii="Times New Roman" w:hAnsi="Times New Roman"/>
                <w:b w:val="0"/>
                <w:color w:val="000000"/>
                <w:sz w:val="20"/>
              </w:rPr>
              <w:t>✓ Cumple — Tabla 22</w:t>
            </w:r>
          </w:p>
        </w:tc>
      </w:tr>
      <w:tr>
        <w:tc>
          <w:tcPr>
            <w:tcW w:type="dxa" w:w="3402"/>
            <w:vAlign w:val="center"/>
          </w:tcPr>
          <w:p>
            <w:pPr>
              <w:jc w:val="left"/>
            </w:pPr>
            <w:r/>
            <w:r>
              <w:rPr>
                <w:rFonts w:ascii="Times New Roman" w:hAnsi="Times New Roman"/>
                <w:b w:val="0"/>
                <w:color w:val="000000"/>
                <w:sz w:val="20"/>
              </w:rPr>
              <w:t>7.2 Cronograma</w:t>
            </w:r>
          </w:p>
        </w:tc>
        <w:tc>
          <w:tcPr>
            <w:tcW w:type="dxa" w:w="3685"/>
            <w:vAlign w:val="center"/>
          </w:tcPr>
          <w:p>
            <w:pPr>
              <w:jc w:val="left"/>
            </w:pPr>
            <w:r/>
            <w:r>
              <w:rPr>
                <w:rFonts w:ascii="Times New Roman" w:hAnsi="Times New Roman"/>
                <w:b w:val="0"/>
                <w:color w:val="000000"/>
                <w:sz w:val="20"/>
              </w:rPr>
              <w:t>Tres fases 2026–2030–2034–2039</w:t>
            </w:r>
          </w:p>
        </w:tc>
        <w:tc>
          <w:tcPr>
            <w:tcW w:type="dxa" w:w="2268"/>
            <w:vAlign w:val="center"/>
          </w:tcPr>
          <w:p>
            <w:pPr>
              <w:jc w:val="left"/>
            </w:pPr>
            <w:r/>
            <w:r>
              <w:rPr>
                <w:rFonts w:ascii="Times New Roman" w:hAnsi="Times New Roman"/>
                <w:b w:val="0"/>
                <w:color w:val="000000"/>
                <w:sz w:val="20"/>
              </w:rPr>
              <w:t>✓ Cumple — Tabla 21</w:t>
            </w:r>
          </w:p>
        </w:tc>
      </w:tr>
      <w:tr>
        <w:tc>
          <w:tcPr>
            <w:tcW w:type="dxa" w:w="3402"/>
            <w:vAlign w:val="center"/>
          </w:tcPr>
          <w:p>
            <w:pPr>
              <w:jc w:val="left"/>
            </w:pPr>
            <w:r/>
            <w:r>
              <w:rPr>
                <w:rFonts w:ascii="Times New Roman" w:hAnsi="Times New Roman"/>
                <w:b w:val="0"/>
                <w:color w:val="000000"/>
                <w:sz w:val="20"/>
              </w:rPr>
              <w:t>8.1 Sistema de seguimiento</w:t>
            </w:r>
          </w:p>
        </w:tc>
        <w:tc>
          <w:tcPr>
            <w:tcW w:type="dxa" w:w="3685"/>
            <w:vAlign w:val="center"/>
          </w:tcPr>
          <w:p>
            <w:pPr>
              <w:jc w:val="left"/>
            </w:pPr>
            <w:r/>
            <w:r>
              <w:rPr>
                <w:rFonts w:ascii="Times New Roman" w:hAnsi="Times New Roman"/>
                <w:b w:val="0"/>
                <w:color w:val="000000"/>
                <w:sz w:val="20"/>
              </w:rPr>
              <w:t>SIG-IE con cinco componentes</w:t>
            </w:r>
          </w:p>
        </w:tc>
        <w:tc>
          <w:tcPr>
            <w:tcW w:type="dxa" w:w="2268"/>
            <w:vAlign w:val="center"/>
          </w:tcPr>
          <w:p>
            <w:pPr>
              <w:jc w:val="left"/>
            </w:pPr>
            <w:r/>
            <w:r>
              <w:rPr>
                <w:rFonts w:ascii="Times New Roman" w:hAnsi="Times New Roman"/>
                <w:b w:val="0"/>
                <w:color w:val="000000"/>
                <w:sz w:val="20"/>
              </w:rPr>
              <w:t>✓ Cumple — Sección 10.3</w:t>
            </w:r>
          </w:p>
        </w:tc>
      </w:tr>
      <w:tr>
        <w:tc>
          <w:tcPr>
            <w:tcW w:type="dxa" w:w="3402"/>
            <w:vAlign w:val="center"/>
          </w:tcPr>
          <w:p>
            <w:pPr>
              <w:jc w:val="left"/>
            </w:pPr>
            <w:r/>
            <w:r>
              <w:rPr>
                <w:rFonts w:ascii="Times New Roman" w:hAnsi="Times New Roman"/>
                <w:b w:val="0"/>
                <w:color w:val="000000"/>
                <w:sz w:val="20"/>
              </w:rPr>
              <w:t>8.2 Sostenibilidad técnica</w:t>
            </w:r>
          </w:p>
        </w:tc>
        <w:tc>
          <w:tcPr>
            <w:tcW w:type="dxa" w:w="3685"/>
            <w:vAlign w:val="center"/>
          </w:tcPr>
          <w:p>
            <w:pPr>
              <w:jc w:val="left"/>
            </w:pPr>
            <w:r/>
            <w:r>
              <w:rPr>
                <w:rFonts w:ascii="Times New Roman" w:hAnsi="Times New Roman"/>
                <w:b w:val="0"/>
                <w:color w:val="000000"/>
                <w:sz w:val="20"/>
              </w:rPr>
              <w:t>Herramienta Consolidada + actualización trianual</w:t>
            </w:r>
          </w:p>
        </w:tc>
        <w:tc>
          <w:tcPr>
            <w:tcW w:type="dxa" w:w="2268"/>
            <w:vAlign w:val="center"/>
          </w:tcPr>
          <w:p>
            <w:pPr>
              <w:jc w:val="left"/>
            </w:pPr>
            <w:r/>
            <w:r>
              <w:rPr>
                <w:rFonts w:ascii="Times New Roman" w:hAnsi="Times New Roman"/>
                <w:b w:val="0"/>
                <w:color w:val="000000"/>
                <w:sz w:val="20"/>
              </w:rPr>
              <w:t>✓ Cumple — Sección 10.1–10.2</w:t>
            </w:r>
          </w:p>
        </w:tc>
      </w:tr>
      <w:tr>
        <w:tc>
          <w:tcPr>
            <w:tcW w:type="dxa" w:w="3402"/>
            <w:vAlign w:val="center"/>
          </w:tcPr>
          <w:p>
            <w:pPr>
              <w:jc w:val="left"/>
            </w:pPr>
            <w:r/>
            <w:r>
              <w:rPr>
                <w:rFonts w:ascii="Times New Roman" w:hAnsi="Times New Roman"/>
                <w:b w:val="0"/>
                <w:color w:val="000000"/>
                <w:sz w:val="20"/>
              </w:rPr>
              <w:t>8.3 Articulación interinstitucional</w:t>
            </w:r>
          </w:p>
        </w:tc>
        <w:tc>
          <w:tcPr>
            <w:tcW w:type="dxa" w:w="3685"/>
            <w:vAlign w:val="center"/>
          </w:tcPr>
          <w:p>
            <w:pPr>
              <w:jc w:val="left"/>
            </w:pPr>
            <w:r/>
            <w:r>
              <w:rPr>
                <w:rFonts w:ascii="Times New Roman" w:hAnsi="Times New Roman"/>
                <w:b w:val="0"/>
                <w:color w:val="000000"/>
                <w:sz w:val="20"/>
              </w:rPr>
              <w:t>Recomendación de Mesa Técnica</w:t>
            </w:r>
          </w:p>
        </w:tc>
        <w:tc>
          <w:tcPr>
            <w:tcW w:type="dxa" w:w="2268"/>
            <w:vAlign w:val="center"/>
          </w:tcPr>
          <w:p>
            <w:pPr>
              <w:jc w:val="left"/>
            </w:pPr>
            <w:r/>
            <w:r>
              <w:rPr>
                <w:rFonts w:ascii="Times New Roman" w:hAnsi="Times New Roman"/>
                <w:b w:val="0"/>
                <w:color w:val="000000"/>
                <w:sz w:val="20"/>
              </w:rPr>
              <w:t>✓ Cumple — Sección 11.2</w:t>
            </w:r>
          </w:p>
        </w:tc>
      </w:tr>
      <w:tr>
        <w:tc>
          <w:tcPr>
            <w:tcW w:type="dxa" w:w="3402"/>
            <w:vAlign w:val="center"/>
          </w:tcPr>
          <w:p>
            <w:pPr>
              <w:jc w:val="left"/>
            </w:pPr>
            <w:r/>
            <w:r>
              <w:rPr>
                <w:rFonts w:ascii="Times New Roman" w:hAnsi="Times New Roman"/>
                <w:b w:val="0"/>
                <w:color w:val="000000"/>
                <w:sz w:val="20"/>
              </w:rPr>
              <w:t>8.4 Trazabilidad de datos</w:t>
            </w:r>
          </w:p>
        </w:tc>
        <w:tc>
          <w:tcPr>
            <w:tcW w:type="dxa" w:w="3685"/>
            <w:vAlign w:val="center"/>
          </w:tcPr>
          <w:p>
            <w:pPr>
              <w:jc w:val="left"/>
            </w:pPr>
            <w:r/>
            <w:r>
              <w:rPr>
                <w:rFonts w:ascii="Times New Roman" w:hAnsi="Times New Roman"/>
                <w:b w:val="0"/>
                <w:color w:val="000000"/>
                <w:sz w:val="20"/>
              </w:rPr>
              <w:t>Anexo F + códigos fuente</w:t>
            </w:r>
          </w:p>
        </w:tc>
        <w:tc>
          <w:tcPr>
            <w:tcW w:type="dxa" w:w="2268"/>
            <w:vAlign w:val="center"/>
          </w:tcPr>
          <w:p>
            <w:pPr>
              <w:jc w:val="left"/>
            </w:pPr>
            <w:r/>
            <w:r>
              <w:rPr>
                <w:rFonts w:ascii="Times New Roman" w:hAnsi="Times New Roman"/>
                <w:b w:val="0"/>
                <w:color w:val="000000"/>
                <w:sz w:val="20"/>
              </w:rPr>
              <w:t>✓ Cumple — Anexo F</w:t>
            </w:r>
          </w:p>
        </w:tc>
      </w:tr>
    </w:tbl>
    <w:p/>
    <w:p>
      <w:pPr>
        <w:jc w:val="center"/>
      </w:pPr>
      <w:r>
        <w:rPr>
          <w:rFonts w:ascii="Times New Roman" w:hAnsi="Times New Roman"/>
          <w:b w:val="0"/>
          <w:i/>
          <w:color w:val="747474"/>
          <w:sz w:val="22"/>
        </w:rPr>
        <w:t>— Fin del documento técnico definitivo del PMIE 2026 —</w:t>
      </w:r>
    </w:p>
    <w:p/>
    <w:p>
      <w:pPr>
        <w:jc w:val="center"/>
      </w:pPr>
      <w:r>
        <w:rPr>
          <w:rFonts w:ascii="Times New Roman" w:hAnsi="Times New Roman"/>
          <w:b w:val="0"/>
          <w:i/>
          <w:color w:val="747474"/>
          <w:sz w:val="20"/>
        </w:rPr>
        <w:t>Plan Maestro de Infraestructura Educativa 2026–2039 · Versión técnica definitiva</w:t>
      </w:r>
    </w:p>
    <w:p>
      <w:pPr>
        <w:jc w:val="center"/>
      </w:pPr>
      <w:r>
        <w:rPr>
          <w:rFonts w:ascii="Times New Roman" w:hAnsi="Times New Roman"/>
          <w:b w:val="0"/>
          <w:i/>
          <w:color w:val="747474"/>
          <w:sz w:val="20"/>
        </w:rPr>
        <w:t>Secretaría de Educación Distrital · Subsecretaría de Planeación Sectorial</w:t>
      </w:r>
    </w:p>
    <w:p>
      <w:pPr>
        <w:jc w:val="center"/>
      </w:pPr>
      <w:r>
        <w:rPr>
          <w:rFonts w:ascii="Times New Roman" w:hAnsi="Times New Roman"/>
          <w:b w:val="0"/>
          <w:i/>
          <w:color w:val="747474"/>
          <w:sz w:val="20"/>
        </w:rPr>
        <w:t>Distrito de Santiago de Cali · Junio de 2026</w:t>
      </w:r>
    </w:p>
    <w:p>
      <w:r>
        <w:br w:type="page"/>
      </w:r>
    </w:p>
    <w:p>
      <w:pPr>
        <w:pStyle w:val="Heading1"/>
      </w:pPr>
      <w:r>
        <w:t>Anexo G — Actualizaciones complementarias del Acta del 24 de mayo de 2026</w:t>
      </w:r>
    </w:p>
    <w:p>
      <w:pPr>
        <w:jc w:val="both"/>
      </w:pPr>
      <w:r>
        <w:rPr>
          <w:rFonts w:ascii="Times New Roman" w:hAnsi="Times New Roman"/>
          <w:i w:val="0"/>
          <w:sz w:val="22"/>
        </w:rPr>
        <w:t>Las siguientes notas (G.10 a G.13) documentan los ajustes adicionales aplicados a la Herramienta Consolidada y al presente documento técnico como resultado de la Mesa de Trabajo PMIE realizada el 24 de mayo de 2026 (Acta 4143.040.9.33.43). Estas correcciones complementan las nueve actualizaciones metodológicas (G.1 a G.9) reportadas en versiones previas del documento.</w:t>
      </w:r>
    </w:p>
    <w:p>
      <w:pPr>
        <w:pStyle w:val="Heading2"/>
      </w:pPr>
      <w:r>
        <w:t>G.10 Q-Corte por defecto ajustado a Q3</w:t>
      </w:r>
    </w:p>
    <w:p>
      <w:pPr>
        <w:jc w:val="both"/>
      </w:pPr>
      <w:r>
        <w:rPr>
          <w:rFonts w:ascii="Times New Roman" w:hAnsi="Times New Roman"/>
          <w:i w:val="0"/>
          <w:sz w:val="22"/>
        </w:rPr>
        <w:t>De acuerdo con el numeral 1 del acta, las sedes en quintiles Q1, Q2 y Q3 (eficientes) se procesan normalmente mientras que las sedes Q4-Q5 (ineficientes) se someten a análisis adicionales en el árbol. Se ajustó el valor por defecto del parámetro paramQCorte de Q2 a Q3 en la interfaz de la Herramienta Consolidada. El usuario puede modificar este parámetro libremente desde el panel de configuración.</w:t>
      </w:r>
    </w:p>
    <w:p>
      <w:pPr>
        <w:pStyle w:val="Heading2"/>
      </w:pPr>
      <w:r>
        <w:t>G.11 Índice NTC 4595 ponderado y sensibilidad a estado</w:t>
      </w:r>
    </w:p>
    <w:p>
      <w:pPr>
        <w:jc w:val="both"/>
      </w:pPr>
      <w:r>
        <w:rPr>
          <w:rFonts w:ascii="Times New Roman" w:hAnsi="Times New Roman"/>
          <w:i w:val="0"/>
          <w:sz w:val="22"/>
        </w:rPr>
        <w:t>Conforme al numeral 5 del acta, el Índice NTC 4595 ahora incorpora dos componentes en lugar de uno único: la disponibilidad de área (peso del 70 %) y la calificación de estado del levantamiento de campo (peso del 30 %). La fórmula aplicada es:</w:t>
      </w:r>
    </w:p>
    <w:p>
      <w:pPr>
        <w:jc w:val="center"/>
      </w:pPr>
      <w:r>
        <w:rPr>
          <w:rFonts w:ascii="Times New Roman" w:hAnsi="Times New Roman"/>
          <w:b/>
          <w:color w:val="0F4761"/>
          <w:sz w:val="22"/>
        </w:rPr>
        <w:t>Índice NTC = 0,70 × Disponibilidad_normalizada + 0,30 × Estado_normalizado</w:t>
      </w:r>
    </w:p>
    <w:p>
      <w:pPr>
        <w:jc w:val="both"/>
      </w:pPr>
      <w:r>
        <w:rPr>
          <w:rFonts w:ascii="Times New Roman" w:hAnsi="Times New Roman"/>
          <w:i w:val="0"/>
          <w:sz w:val="22"/>
        </w:rPr>
        <w:t>Donde Disponibilidad_normalizada = Σ_espacios min(1, área_existente / área_requerida) × prioridad / Σ prioridad, y Estado_normalizado = (Σ calificación × prioridad / Σ prioridad) / 4. Adicionalmente, cuando la calificación promedio de estado está por debajo de 2,5/4 (es decir, estadoNorm &lt; 0,625), el índice se reduce entre 15 % y 40 % de manera lineal según gravedad. Esta penalización corrige el sesgo identificado en el acta: una sede con áreas suficientes pero en mal estado tenía un índice artificialmente alto.</w:t>
      </w:r>
    </w:p>
    <w:p>
      <w:pPr>
        <w:pStyle w:val="Heading2"/>
      </w:pPr>
      <w:r>
        <w:t>G.12 Zonas verdes POT — bloqueo de ampliaciones y construcción nueva</w:t>
      </w:r>
    </w:p>
    <w:p>
      <w:pPr>
        <w:jc w:val="both"/>
      </w:pPr>
      <w:r>
        <w:rPr>
          <w:rFonts w:ascii="Times New Roman" w:hAnsi="Times New Roman"/>
          <w:i w:val="0"/>
          <w:sz w:val="22"/>
        </w:rPr>
        <w:t>Siguiendo el numeral 6 del acta, las sedes ubicadas en zonas verdes del POT solo admiten intervenciones de reforzamiento y adecuación (P3, P7 o P2). No se permiten ampliaciones en sitio propio (P4) ni construcción nueva en predio extendido (P1). La identificación se hace mediante una columna ZONA_VERDE (o equivalente: USO_SUELO, AMBIENTAL, etc.) en el archivo BASE CONSOLIDADA BRECHA FUNCIONAL. Cuando una sede en zona verde alcanza el nodo N3a-NO o N4b-NO, el árbol fuerza la asignación a P5 (Redistribución de Matrícula) más la rama N5 correspondiente. La nota descriptiva incluye el prefijo "[Zona Verde POT]" para trazabilidad.</w:t>
      </w:r>
    </w:p>
    <w:p>
      <w:pPr>
        <w:pStyle w:val="Heading2"/>
      </w:pPr>
      <w:r>
        <w:t>G.13 Cobertura NO OFICIAL distribuida en sedes virtuales de gran formato</w:t>
      </w:r>
    </w:p>
    <w:p>
      <w:pPr>
        <w:jc w:val="both"/>
      </w:pPr>
      <w:r>
        <w:rPr>
          <w:rFonts w:ascii="Times New Roman" w:hAnsi="Times New Roman"/>
          <w:i w:val="0"/>
          <w:sz w:val="22"/>
        </w:rPr>
        <w:t>Conforme al numeral 8 del acta, la matrícula NO OFICIAL atendida por el Programa P1 se distribuye en sedes virtuales nuevas con tamaño promedio de 1.400 estudiantes por sede (gran formato). El cálculo se realiza por comuna como n_sedes = ⌈matrícula_comuna / 1.400⌉, con un mínimo de 1 sede por comuna receptora. La hoja P1 del Excel del Plan incluye nuevas columnas "Sedes nuevas" y "Matrícula/sede" para visualizar esta distribución. La proyección de la matrícula NO OFICIAL se reporta en tres escenarios temporales: 2024 (base SIMAT), 2026 (actualización SIMAT) y horizonte 2039 (proyección lineal con MCDE-T).</w:t>
      </w:r>
    </w:p>
    <w:p>
      <w:pPr>
        <w:pStyle w:val="Heading2"/>
      </w:pPr>
      <w:r>
        <w:t>G.14 Traslado temporal MEP y dotación de equipamiento</w:t>
      </w:r>
    </w:p>
    <w:p>
      <w:pPr>
        <w:jc w:val="both"/>
      </w:pPr>
      <w:r>
        <w:rPr>
          <w:rFonts w:ascii="Times New Roman" w:hAnsi="Times New Roman"/>
          <w:i w:val="0"/>
          <w:sz w:val="22"/>
        </w:rPr>
        <w:t>En atención al numeral 9 (Contingencias) del acta, los programas que implican demolición o reconstrucción (P8 reconstrucción total y P4 vía N3b-SÍ) ahora incluyen un componente de costo de operación transitoria mediante Módulos Educativos Prefabricados (MEP). El costo unitario aplicado es $25.000 /m²/mes durante 18 meses para P8 y 12 meses para P4 con reconstrucción de área existente. Adicionalmente, los programas que entregan infraestructura nueva o reconstruida (P1, P4 con N3b-SÍ, P8) incluyen un componente de dotación de equipamiento y mobiliario equivalente al 10 % del costo de construcción nueva.</w:t>
      </w:r>
    </w:p>
    <w:p>
      <w:pPr>
        <w:pStyle w:val="Heading2"/>
      </w:pPr>
      <w:r>
        <w:t>G.15 Inflación anual del sector construcción configurable</w:t>
      </w:r>
    </w:p>
    <w:p>
      <w:pPr>
        <w:jc w:val="both"/>
      </w:pPr>
      <w:r>
        <w:rPr>
          <w:rFonts w:ascii="Times New Roman" w:hAnsi="Times New Roman"/>
          <w:i w:val="0"/>
          <w:sz w:val="22"/>
        </w:rPr>
        <w:t>Conforme al numeral 9 del acta ("se recomienda actualizar anualmente según inflación de sector construcción"), se incorporó un nuevo parámetro configurable paramInflacionAnual con valor por defecto de 4,5 % anual. Este parámetro reemplaza el IPC_H3 fijo de 1,04 utilizado previamente. La fórmula aplicada es IPC_dinámico = (1 + inflación)^(año_objetivo − 2026). De esta manera la actualización de costos a años futuros (2030, 2035, 2039) se realiza de manera trazable y auditable.</w:t>
      </w:r>
    </w:p>
    <w:p>
      <w:pPr>
        <w:pStyle w:val="Heading2"/>
      </w:pPr>
      <w:r>
        <w:t>G.16 Nota sobre discrepancia de costo unitario ($6,5 M vs $7,29 M)</w:t>
      </w:r>
    </w:p>
    <w:p>
      <w:pPr>
        <w:jc w:val="both"/>
      </w:pPr>
      <w:r>
        <w:rPr>
          <w:rFonts w:ascii="Times New Roman" w:hAnsi="Times New Roman"/>
          <w:i w:val="0"/>
          <w:sz w:val="22"/>
        </w:rPr>
        <w:t>El acta cita el costo de construcción nueva de sedes oficiales como $6,5 millones de pesos por metro cuadrado, con predio incluido. La herramienta calcula $1.797.977 (predio) + $4.340.750 (construcción con extensión) = $6.138.727 por m² base; al aplicar los factores FD por comuna (1,00-1,08), IPC y overhead del 14 % (estudios e interventoría), el costo efectivo alcanza aproximadamente $7,29 M por m². La diferencia se explica porque la cifra del acta es una referencia simplificada sin overhead, mientras que el cálculo de la herramienta es riguroso e incluye todos los componentes contractuales reglamentarios. Ambas cifras son consistentes para los fines de planeación.</w:t>
      </w:r>
    </w:p>
    <w:p>
      <w:pPr>
        <w:pStyle w:val="Heading2"/>
      </w:pPr>
      <w:r>
        <w:t>G.17 Lenguaje institucional y pendientes operativos</w:t>
      </w:r>
    </w:p>
    <w:p>
      <w:pPr>
        <w:jc w:val="both"/>
      </w:pPr>
      <w:r>
        <w:rPr>
          <w:rFonts w:ascii="Times New Roman" w:hAnsi="Times New Roman"/>
          <w:i w:val="0"/>
          <w:sz w:val="22"/>
        </w:rPr>
        <w:t>Conforme a las observaciones generales del acta, se ajustaron términos técnicos para mayor claridad institucional: las referencias internas al "árbol" o "runTree" se complementan con la denominación oficial "metodología de clasificación técnica del PMIE"; las cifras se reportan con separador de miles colombiano (1.234.567) y unidades explícitas (MM COP, m², estudiantes); las siglas BC, BF y BE se expanden en su primer uso en cada sección.</w:t>
      </w:r>
    </w:p>
    <w:p>
      <w:pPr>
        <w:jc w:val="both"/>
      </w:pPr>
      <w:r>
        <w:rPr>
          <w:rFonts w:ascii="Times New Roman" w:hAnsi="Times New Roman"/>
          <w:i w:val="0"/>
          <w:sz w:val="22"/>
        </w:rPr>
        <w:t>Pendientes operativos identificados en el acta:</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color w:val="FFFFFF"/>
                <w:sz w:val="20"/>
              </w:rPr>
              <w:t>Compromiso</w:t>
            </w:r>
          </w:p>
        </w:tc>
        <w:tc>
          <w:tcPr>
            <w:tcW w:type="dxa" w:w="3041"/>
          </w:tcPr>
          <w:p>
            <w:pPr>
              <w:jc w:val="center"/>
            </w:pPr>
            <w:r/>
            <w:r>
              <w:rPr>
                <w:rFonts w:ascii="Times New Roman" w:hAnsi="Times New Roman"/>
                <w:b/>
                <w:color w:val="FFFFFF"/>
                <w:sz w:val="20"/>
              </w:rPr>
              <w:t>Responsable</w:t>
            </w:r>
          </w:p>
        </w:tc>
        <w:tc>
          <w:tcPr>
            <w:tcW w:type="dxa" w:w="3041"/>
          </w:tcPr>
          <w:p>
            <w:pPr>
              <w:jc w:val="center"/>
            </w:pPr>
            <w:r/>
            <w:r>
              <w:rPr>
                <w:rFonts w:ascii="Times New Roman" w:hAnsi="Times New Roman"/>
                <w:b/>
                <w:color w:val="FFFFFF"/>
                <w:sz w:val="20"/>
              </w:rPr>
              <w:t>Fecha límite</w:t>
            </w:r>
          </w:p>
        </w:tc>
      </w:tr>
      <w:tr>
        <w:tc>
          <w:tcPr>
            <w:tcW w:type="dxa" w:w="3041"/>
          </w:tcPr>
          <w:p>
            <w:r/>
            <w:r>
              <w:rPr>
                <w:rFonts w:ascii="Times New Roman" w:hAnsi="Times New Roman"/>
                <w:sz w:val="20"/>
              </w:rPr>
              <w:t>Completar levantamiento de 4 sedes (General Santander)</w:t>
            </w:r>
          </w:p>
        </w:tc>
        <w:tc>
          <w:tcPr>
            <w:tcW w:type="dxa" w:w="3041"/>
          </w:tcPr>
          <w:p>
            <w:r/>
            <w:r>
              <w:rPr>
                <w:rFonts w:ascii="Times New Roman" w:hAnsi="Times New Roman"/>
                <w:sz w:val="20"/>
              </w:rPr>
              <w:t>Equipo de levantamiento</w:t>
            </w:r>
          </w:p>
        </w:tc>
        <w:tc>
          <w:tcPr>
            <w:tcW w:type="dxa" w:w="3041"/>
          </w:tcPr>
          <w:p>
            <w:r/>
            <w:r>
              <w:rPr>
                <w:rFonts w:ascii="Times New Roman" w:hAnsi="Times New Roman"/>
                <w:sz w:val="20"/>
              </w:rPr>
              <w:t>15/05/2026</w:t>
            </w:r>
          </w:p>
        </w:tc>
      </w:tr>
      <w:tr>
        <w:tc>
          <w:tcPr>
            <w:tcW w:type="dxa" w:w="3041"/>
          </w:tcPr>
          <w:p>
            <w:r/>
            <w:r>
              <w:rPr>
                <w:rFonts w:ascii="Times New Roman" w:hAnsi="Times New Roman"/>
                <w:sz w:val="20"/>
              </w:rPr>
              <w:t>Consolidar listado definitivo de zonas verdes POT</w:t>
            </w:r>
          </w:p>
        </w:tc>
        <w:tc>
          <w:tcPr>
            <w:tcW w:type="dxa" w:w="3041"/>
          </w:tcPr>
          <w:p>
            <w:r/>
            <w:r>
              <w:rPr>
                <w:rFonts w:ascii="Times New Roman" w:hAnsi="Times New Roman"/>
                <w:sz w:val="20"/>
              </w:rPr>
              <w:t>Carlos López + Diego Dorado</w:t>
            </w:r>
          </w:p>
        </w:tc>
        <w:tc>
          <w:tcPr>
            <w:tcW w:type="dxa" w:w="3041"/>
          </w:tcPr>
          <w:p>
            <w:r/>
            <w:r>
              <w:rPr>
                <w:rFonts w:ascii="Times New Roman" w:hAnsi="Times New Roman"/>
                <w:sz w:val="20"/>
              </w:rPr>
              <w:t>31/05/2026</w:t>
            </w:r>
          </w:p>
        </w:tc>
      </w:tr>
      <w:tr>
        <w:tc>
          <w:tcPr>
            <w:tcW w:type="dxa" w:w="3041"/>
          </w:tcPr>
          <w:p>
            <w:r/>
            <w:r>
              <w:rPr>
                <w:rFonts w:ascii="Times New Roman" w:hAnsi="Times New Roman"/>
                <w:sz w:val="20"/>
              </w:rPr>
              <w:t>Ajustar lenguaje institucional del plan</w:t>
            </w:r>
          </w:p>
        </w:tc>
        <w:tc>
          <w:tcPr>
            <w:tcW w:type="dxa" w:w="3041"/>
          </w:tcPr>
          <w:p>
            <w:r/>
            <w:r>
              <w:rPr>
                <w:rFonts w:ascii="Times New Roman" w:hAnsi="Times New Roman"/>
                <w:sz w:val="20"/>
              </w:rPr>
              <w:t>Carlos López</w:t>
            </w:r>
          </w:p>
        </w:tc>
        <w:tc>
          <w:tcPr>
            <w:tcW w:type="dxa" w:w="3041"/>
          </w:tcPr>
          <w:p>
            <w:r/>
            <w:r>
              <w:rPr>
                <w:rFonts w:ascii="Times New Roman" w:hAnsi="Times New Roman"/>
                <w:sz w:val="20"/>
              </w:rPr>
              <w:t>Junio 2026</w:t>
            </w:r>
          </w:p>
        </w:tc>
      </w:tr>
      <w:tr>
        <w:tc>
          <w:tcPr>
            <w:tcW w:type="dxa" w:w="3041"/>
          </w:tcPr>
          <w:p>
            <w:r/>
            <w:r>
              <w:rPr>
                <w:rFonts w:ascii="Times New Roman" w:hAnsi="Times New Roman"/>
                <w:sz w:val="20"/>
              </w:rPr>
              <w:t>Incluir información de dotación de equipamiento</w:t>
            </w:r>
          </w:p>
        </w:tc>
        <w:tc>
          <w:tcPr>
            <w:tcW w:type="dxa" w:w="3041"/>
          </w:tcPr>
          <w:p>
            <w:r/>
            <w:r>
              <w:rPr>
                <w:rFonts w:ascii="Times New Roman" w:hAnsi="Times New Roman"/>
                <w:sz w:val="20"/>
              </w:rPr>
              <w:t>Equipo SED</w:t>
            </w:r>
          </w:p>
        </w:tc>
        <w:tc>
          <w:tcPr>
            <w:tcW w:type="dxa" w:w="3041"/>
          </w:tcPr>
          <w:p>
            <w:r/>
            <w:r>
              <w:rPr>
                <w:rFonts w:ascii="Times New Roman" w:hAnsi="Times New Roman"/>
                <w:sz w:val="20"/>
              </w:rPr>
              <w:t>Fase siguiente (en herramienta)</w:t>
            </w:r>
          </w:p>
        </w:tc>
      </w:tr>
      <w:tr>
        <w:tc>
          <w:tcPr>
            <w:tcW w:type="dxa" w:w="3041"/>
          </w:tcPr>
          <w:p>
            <w:r/>
            <w:r>
              <w:rPr>
                <w:rFonts w:ascii="Times New Roman" w:hAnsi="Times New Roman"/>
                <w:sz w:val="20"/>
              </w:rPr>
              <w:t>Validar costos 2026 e inflación sector construcción</w:t>
            </w:r>
          </w:p>
        </w:tc>
        <w:tc>
          <w:tcPr>
            <w:tcW w:type="dxa" w:w="3041"/>
          </w:tcPr>
          <w:p>
            <w:r/>
            <w:r>
              <w:rPr>
                <w:rFonts w:ascii="Times New Roman" w:hAnsi="Times New Roman"/>
                <w:sz w:val="20"/>
              </w:rPr>
              <w:t>Carlos López + Juan Carlos</w:t>
            </w:r>
          </w:p>
        </w:tc>
        <w:tc>
          <w:tcPr>
            <w:tcW w:type="dxa" w:w="3041"/>
          </w:tcPr>
          <w:p>
            <w:r/>
            <w:r>
              <w:rPr>
                <w:rFonts w:ascii="Times New Roman" w:hAnsi="Times New Roman"/>
                <w:sz w:val="20"/>
              </w:rPr>
              <w:t>Próxima reunión</w:t>
            </w:r>
          </w:p>
        </w:tc>
      </w:tr>
    </w:tbl>
    <w:p/>
    <w:p>
      <w:pPr>
        <w:jc w:val="center"/>
      </w:pPr>
      <w:r>
        <w:rPr>
          <w:rFonts w:ascii="Times New Roman" w:hAnsi="Times New Roman"/>
          <w:i/>
          <w:color w:val="595959"/>
          <w:sz w:val="20"/>
        </w:rPr>
        <w:t>Fin del Anexo G — Actualizaciones del Acta del 24 de mayo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F476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