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Malgun Gothic" w:hAnsi="Malgun Gothic" w:eastAsia="Malgun Gothic"/>
          <w:b/>
          <w:i w:val="0"/>
          <w:color w:val="178C8C"/>
          <w:sz w:val="22"/>
        </w:rPr>
        <w:t>AGILE &amp; MSA PROJECT</w:t>
      </w:r>
    </w:p>
    <w:p>
      <w:pPr>
        <w:spacing w:after="160"/>
        <w:jc w:val="center"/>
      </w:pPr>
      <w:r>
        <w:rPr>
          <w:rFonts w:ascii="Malgun Gothic" w:hAnsi="Malgun Gothic" w:eastAsia="Malgun Gothic"/>
          <w:b/>
          <w:i w:val="0"/>
          <w:color w:val="17324D"/>
          <w:sz w:val="60"/>
        </w:rPr>
        <w:t>메디브릿지</w:t>
      </w:r>
    </w:p>
    <w:p>
      <w:pPr>
        <w:spacing w:after="680"/>
        <w:jc w:val="center"/>
      </w:pPr>
      <w:r>
        <w:rPr>
          <w:rFonts w:ascii="Malgun Gothic" w:hAnsi="Malgun Gothic" w:eastAsia="Malgun Gothic"/>
          <w:b w:val="0"/>
          <w:i w:val="0"/>
          <w:color w:val="657784"/>
          <w:sz w:val="30"/>
        </w:rPr>
        <w:t>B2B 의약품 공급·발주 관리 플랫폼</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PROJECT PURPOSE</w:t>
            </w:r>
          </w:p>
          <w:p>
            <w:pPr>
              <w:spacing w:after="0" w:line="269" w:lineRule="auto"/>
            </w:pPr>
            <w:r>
              <w:rPr>
                <w:rFonts w:ascii="Malgun Gothic" w:hAnsi="Malgun Gothic" w:eastAsia="Malgun Gothic"/>
                <w:b w:val="0"/>
                <w:i w:val="0"/>
                <w:color w:val="24323D"/>
                <w:sz w:val="20"/>
              </w:rPr>
              <w:t>CSO와 약국·병원을 연결해 비대면 의약품 탐색·추천·발주를 지원하고, 제한된 영업 인력으로 더 많은 지역과 거래처에 제품을 제안한다.</w:t>
            </w:r>
          </w:p>
        </w:tc>
      </w:tr>
    </w:tbl>
    <w:p>
      <w:pPr>
        <w:spacing w:after="20"/>
      </w:pPr>
    </w:p>
    <w:p>
      <w:pPr>
        <w:spacing w:after="960"/>
        <w:jc w:val="center"/>
      </w:pPr>
      <w:r>
        <w:rPr>
          <w:rFonts w:ascii="Malgun Gothic" w:hAnsi="Malgun Gothic" w:eastAsia="Malgun Gothic"/>
          <w:b/>
          <w:i w:val="0"/>
          <w:color w:val="17324D"/>
          <w:sz w:val="28"/>
        </w:rPr>
        <w:t>영업의 거리를 넘어, 의약품 공급과 발주를 연결하다.</w:t>
      </w:r>
    </w:p>
    <w:tbl>
      <w:tblPr>
        <w:tblStyle w:val="TableGrid"/>
        <w:tblW w:type="dxa" w:w="9360"/>
        <w:jc w:val="center"/>
        <w:tblLayout w:type="fixed"/>
        <w:tblLook w:firstColumn="1" w:firstRow="1" w:lastColumn="0" w:lastRow="0" w:noHBand="0" w:noVBand="1" w:val="04A0"/>
        <w:tblLayout w:type="fixed"/>
        <w:tblInd w:w="120" w:type="dxa"/>
      </w:tblPr>
      <w:tblGrid>
        <w:gridCol w:w="2880"/>
        <w:gridCol w:w="6480"/>
      </w:tblGrid>
      <w:tr>
        <w:trPr>
          <w:tblHeader/>
          <w:cantSplit/>
        </w:trPr>
        <w:tc>
          <w:tcPr>
            <w:tcW w:type="dxa" w:w="28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역할</w:t>
            </w:r>
          </w:p>
        </w:tc>
        <w:tc>
          <w:tcPr>
            <w:tcW w:type="dxa" w:w="64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담당</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Product Owner</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김민주</w:t>
            </w:r>
          </w:p>
        </w:tc>
      </w:tr>
      <w:tr>
        <w:trPr>
          <w:cantSplit/>
        </w:trPr>
        <w:tc>
          <w:tcPr>
            <w:tcW w:type="dxa" w:w="288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9"/>
              </w:rPr>
              <w:t>Scrum Master</w:t>
            </w:r>
          </w:p>
        </w:tc>
        <w:tc>
          <w:tcPr>
            <w:tcW w:type="dxa" w:w="64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9"/>
              </w:rPr>
              <w:t>최승우</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Frontend</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임형준</w:t>
            </w:r>
          </w:p>
        </w:tc>
      </w:tr>
      <w:tr>
        <w:trPr>
          <w:cantSplit/>
        </w:trPr>
        <w:tc>
          <w:tcPr>
            <w:tcW w:type="dxa" w:w="288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9"/>
              </w:rPr>
              <w:t>Backend</w:t>
            </w:r>
          </w:p>
        </w:tc>
        <w:tc>
          <w:tcPr>
            <w:tcW w:type="dxa" w:w="64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9"/>
              </w:rPr>
              <w:t>권주현</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Service Planning</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전혜민</w:t>
            </w:r>
          </w:p>
        </w:tc>
      </w:tr>
    </w:tbl>
    <w:p>
      <w:pPr>
        <w:spacing w:after="20"/>
      </w:pPr>
    </w:p>
    <w:p>
      <w:pPr>
        <w:spacing w:after="0"/>
        <w:jc w:val="center"/>
      </w:pPr>
      <w:r>
        <w:rPr>
          <w:rFonts w:ascii="Malgun Gothic" w:hAnsi="Malgun Gothic" w:eastAsia="Malgun Gothic"/>
          <w:b w:val="0"/>
          <w:i w:val="0"/>
          <w:color w:val="657784"/>
          <w:sz w:val="20"/>
        </w:rPr>
        <w:t>판교 4반 2조</w:t>
      </w:r>
    </w:p>
    <w:p>
      <w:r>
        <w:br w:type="page"/>
      </w:r>
    </w:p>
    <w:p>
      <w:pPr>
        <w:pStyle w:val="Heading1"/>
      </w:pPr>
      <w:r>
        <w:t>1. 프로젝트 개요</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한 줄 정의</w:t>
            </w:r>
          </w:p>
          <w:p>
            <w:pPr>
              <w:spacing w:after="0" w:line="269" w:lineRule="auto"/>
            </w:pPr>
            <w:r>
              <w:rPr>
                <w:rFonts w:ascii="Malgun Gothic" w:hAnsi="Malgun Gothic" w:eastAsia="Malgun Gothic"/>
                <w:b w:val="0"/>
                <w:i w:val="0"/>
                <w:color w:val="24323D"/>
                <w:sz w:val="20"/>
              </w:rPr>
              <w:t>약국·병원 담당자가 의약품을 조회·발주하고, 결제 완료 후 발주를 확정하며 구매 이력에 따라 관련 품목을 추천받는 B2B 플랫폼</w:t>
            </w:r>
          </w:p>
        </w:tc>
      </w:tr>
    </w:tbl>
    <w:p>
      <w:pPr>
        <w:spacing w:after="20"/>
      </w:pPr>
    </w:p>
    <w:p>
      <w:pPr>
        <w:pStyle w:val="Heading2"/>
      </w:pPr>
      <w:r>
        <w:t>1.1 추진 배경</w:t>
      </w:r>
    </w:p>
    <w:p>
      <w:pPr>
        <w:spacing w:after="120"/>
      </w:pPr>
      <w:r>
        <w:rPr>
          <w:rFonts w:ascii="Malgun Gothic" w:hAnsi="Malgun Gothic" w:eastAsia="Malgun Gothic"/>
          <w:b w:val="0"/>
          <w:i w:val="0"/>
          <w:color w:val="24323D"/>
          <w:sz w:val="21"/>
        </w:rPr>
        <w:t>CSO는 여러 제약사로부터 의약품 영업·판촉을 위탁받아 병원과 약국을 대상으로 제품 정보를 제공한다. 그러나 영업사원이 직접 방문할 수 있는 지역과 거래처 수에는 한계가 있고, 거래처를 늘리려면 영업 인력과 비용도 함께 증가한다.</w:t>
      </w:r>
    </w:p>
    <w:p>
      <w:pPr>
        <w:spacing w:after="120"/>
      </w:pPr>
      <w:r>
        <w:rPr>
          <w:rFonts w:ascii="Malgun Gothic" w:hAnsi="Malgun Gothic" w:eastAsia="Malgun Gothic"/>
          <w:b w:val="0"/>
          <w:i w:val="0"/>
          <w:color w:val="24323D"/>
          <w:sz w:val="21"/>
        </w:rPr>
        <w:t>또한 유사한 성분과 효능의 제품이 여러 제약사에서 판매되기 때문에 구매 담당자가 자신의 구매 특성과 수요에 맞는 제품을 직접 비교하기 어렵다. 거래처별 주문 이력과 제품별 수요 데이터 역시 제품 제안 과정에 충분히 활용되지 못하고 있다.</w:t>
      </w:r>
    </w:p>
    <w:p>
      <w:pPr>
        <w:pStyle w:val="Heading2"/>
      </w:pPr>
      <w:r>
        <w:t>1.2 서비스 목표</w:t>
      </w:r>
    </w:p>
    <w:p>
      <w:pPr>
        <w:pStyle w:val="ListBullet"/>
        <w:spacing w:after="80"/>
      </w:pPr>
      <w:r>
        <w:rPr>
          <w:rFonts w:ascii="Malgun Gothic" w:hAnsi="Malgun Gothic" w:eastAsia="Malgun Gothic"/>
          <w:b w:val="0"/>
          <w:i w:val="0"/>
          <w:color w:val="24323D"/>
          <w:sz w:val="20"/>
        </w:rPr>
        <w:t>지역과 관계없이 의약품을 탐색하고 발주할 수 있는 비대면 채널 제공</w:t>
      </w:r>
    </w:p>
    <w:p>
      <w:pPr>
        <w:pStyle w:val="ListBullet"/>
        <w:spacing w:after="80"/>
      </w:pPr>
      <w:r>
        <w:rPr>
          <w:rFonts w:ascii="Malgun Gothic" w:hAnsi="Malgun Gothic" w:eastAsia="Malgun Gothic"/>
          <w:b w:val="0"/>
          <w:i w:val="0"/>
          <w:color w:val="24323D"/>
          <w:sz w:val="20"/>
        </w:rPr>
        <w:t>거래처별 구매 이력을 활용한 설명 가능한 제품 추천</w:t>
      </w:r>
    </w:p>
    <w:p>
      <w:pPr>
        <w:pStyle w:val="ListBullet"/>
        <w:spacing w:after="80"/>
      </w:pPr>
      <w:r>
        <w:rPr>
          <w:rFonts w:ascii="Malgun Gothic" w:hAnsi="Malgun Gothic" w:eastAsia="Malgun Gothic"/>
          <w:b w:val="0"/>
          <w:i w:val="0"/>
          <w:color w:val="24323D"/>
          <w:sz w:val="20"/>
        </w:rPr>
        <w:t>결제와 발주 확정을 서비스 간 통신으로 자동 처리</w:t>
      </w:r>
    </w:p>
    <w:p>
      <w:pPr>
        <w:pStyle w:val="ListBullet"/>
        <w:spacing w:after="80"/>
      </w:pPr>
      <w:r>
        <w:rPr>
          <w:rFonts w:ascii="Malgun Gothic" w:hAnsi="Malgun Gothic" w:eastAsia="Malgun Gothic"/>
          <w:b w:val="0"/>
          <w:i w:val="0"/>
          <w:color w:val="24323D"/>
          <w:sz w:val="20"/>
        </w:rPr>
        <w:t>CSO 운영사가 적은 영업 인력으로 더 많은 거래처를 관리할 수 있도록 지원</w:t>
      </w:r>
    </w:p>
    <w:p>
      <w:pPr>
        <w:pStyle w:val="Heading2"/>
      </w:pPr>
      <w:r>
        <w:t>1.3 기대 효과</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핵심 효과</w:t>
            </w:r>
          </w:p>
          <w:p>
            <w:pPr>
              <w:spacing w:after="0" w:line="269" w:lineRule="auto"/>
            </w:pPr>
            <w:r>
              <w:rPr>
                <w:rFonts w:ascii="Malgun Gothic" w:hAnsi="Malgun Gothic" w:eastAsia="Malgun Gothic"/>
                <w:b w:val="0"/>
                <w:i w:val="0"/>
                <w:color w:val="24323D"/>
                <w:sz w:val="20"/>
              </w:rPr>
              <w:t>비대면 의약품 탐색·추천·발주를 통해 지역 간 영업 격차를 줄이고, 제한된 영업 인력으로 더 많은 거래처와 제약회사를 연결한다.</w:t>
            </w:r>
          </w:p>
        </w:tc>
      </w:tr>
    </w:tbl>
    <w:p>
      <w:pPr>
        <w:spacing w:after="20"/>
      </w:pPr>
    </w:p>
    <w:p>
      <w:r>
        <w:br w:type="page"/>
      </w:r>
    </w:p>
    <w:p>
      <w:pPr>
        <w:pStyle w:val="Heading1"/>
      </w:pPr>
      <w:r>
        <w:t>2. 이해관계자와 Pain Point</w:t>
      </w:r>
    </w:p>
    <w:tbl>
      <w:tblPr>
        <w:tblStyle w:val="TableGrid"/>
        <w:tblW w:type="dxa" w:w="9360"/>
        <w:jc w:val="center"/>
        <w:tblLayout w:type="fixed"/>
        <w:tblLook w:firstColumn="1" w:firstRow="1" w:lastColumn="0" w:lastRow="0" w:noHBand="0" w:noVBand="1" w:val="04A0"/>
        <w:tblLayout w:type="fixed"/>
        <w:tblInd w:w="120" w:type="dxa"/>
      </w:tblPr>
      <w:tblGrid>
        <w:gridCol w:w="1728"/>
        <w:gridCol w:w="3888"/>
        <w:gridCol w:w="3744"/>
      </w:tblGrid>
      <w:tr>
        <w:trPr>
          <w:tblHeader/>
          <w:cantSplit/>
        </w:trPr>
        <w:tc>
          <w:tcPr>
            <w:tcW w:type="dxa" w:w="172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이해관계자</w:t>
            </w:r>
          </w:p>
        </w:tc>
        <w:tc>
          <w:tcPr>
            <w:tcW w:type="dxa" w:w="38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현재 불편</w:t>
            </w:r>
          </w:p>
        </w:tc>
        <w:tc>
          <w:tcPr>
            <w:tcW w:type="dxa" w:w="37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제공 가치</w:t>
            </w:r>
          </w:p>
        </w:tc>
      </w:tr>
      <w:tr>
        <w:trPr>
          <w:cantSplit/>
        </w:trPr>
        <w:tc>
          <w:tcPr>
            <w:tcW w:type="dxa" w:w="172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약국·병원</w:t>
            </w:r>
          </w:p>
        </w:tc>
        <w:tc>
          <w:tcPr>
            <w:tcW w:type="dxa" w:w="38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지역과 영업 접점에 따라 제품 정보가 제한되고, 유사 제품 비교가 어렵다.</w:t>
            </w:r>
          </w:p>
        </w:tc>
        <w:tc>
          <w:tcPr>
            <w:tcW w:type="dxa" w:w="37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지역과 관계없이 다양한 의약품을 탐색·추천받고 편리하게 발주</w:t>
            </w:r>
          </w:p>
        </w:tc>
      </w:tr>
      <w:tr>
        <w:trPr>
          <w:cantSplit/>
        </w:trPr>
        <w:tc>
          <w:tcPr>
            <w:tcW w:type="dxa" w:w="172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CSO 기업</w:t>
            </w:r>
          </w:p>
        </w:tc>
        <w:tc>
          <w:tcPr>
            <w:tcW w:type="dxa" w:w="388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거래처 확대가 영업 인력과 비용 증가로 이어지고, 제안이 개인 경험에 의존한다.</w:t>
            </w:r>
          </w:p>
        </w:tc>
        <w:tc>
          <w:tcPr>
            <w:tcW w:type="dxa" w:w="37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적은 영업 인력으로 더 많은 지역과 거래처에 데이터 기반 제품 제안</w:t>
            </w:r>
          </w:p>
        </w:tc>
      </w:tr>
      <w:tr>
        <w:trPr>
          <w:cantSplit/>
        </w:trPr>
        <w:tc>
          <w:tcPr>
            <w:tcW w:type="dxa" w:w="172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제약회사</w:t>
            </w:r>
          </w:p>
        </w:tc>
        <w:tc>
          <w:tcPr>
            <w:tcW w:type="dxa" w:w="38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기존 영업망이 닿지 않는 거래처에는 제품을 노출하기 어렵다.</w:t>
            </w:r>
          </w:p>
        </w:tc>
        <w:tc>
          <w:tcPr>
            <w:tcW w:type="dxa" w:w="37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노출 범위와 정상적인 판매 기회 확대</w:t>
            </w:r>
          </w:p>
        </w:tc>
      </w:tr>
    </w:tbl>
    <w:p>
      <w:pPr>
        <w:spacing w:after="20"/>
      </w:pPr>
    </w:p>
    <w:p>
      <w:pPr>
        <w:pStyle w:val="Heading2"/>
      </w:pPr>
      <w:r>
        <w:t>2.1 공통 핵심 문제</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PAIN POINT</w:t>
            </w:r>
          </w:p>
          <w:p>
            <w:pPr>
              <w:spacing w:after="0" w:line="269" w:lineRule="auto"/>
            </w:pPr>
            <w:r>
              <w:rPr>
                <w:rFonts w:ascii="Malgun Gothic" w:hAnsi="Malgun Gothic" w:eastAsia="Malgun Gothic"/>
                <w:b w:val="0"/>
                <w:i w:val="0"/>
                <w:color w:val="24323D"/>
                <w:sz w:val="20"/>
              </w:rPr>
              <w:t>거래처별 구매 이력과 제품별 수요 데이터가 영업·구매 의사결정에 충분히 활용되지 못하고 있다.</w:t>
            </w:r>
          </w:p>
        </w:tc>
      </w:tr>
    </w:tbl>
    <w:p>
      <w:pPr>
        <w:spacing w:after="20"/>
      </w:pPr>
    </w:p>
    <w:p>
      <w:pPr>
        <w:pStyle w:val="Heading2"/>
      </w:pPr>
      <w:r>
        <w:t>2.2 도입 의사결정 관점</w:t>
      </w:r>
    </w:p>
    <w:p>
      <w:pPr>
        <w:spacing w:after="120"/>
      </w:pPr>
      <w:r>
        <w:rPr>
          <w:rFonts w:ascii="Malgun Gothic" w:hAnsi="Malgun Gothic" w:eastAsia="Malgun Gothic"/>
          <w:b w:val="0"/>
          <w:i w:val="0"/>
          <w:color w:val="24323D"/>
          <w:sz w:val="21"/>
        </w:rPr>
        <w:t>플랫폼 도입의 핵심 의사결정자는 개별 영업사원이 아니라 CSO 운영사다. 메디브릿지는 영업사원을 전면 대체하기보다 반복적인 제품 안내와 발주 업무를 자동화하여 영업 커버리지를 확대한다.</w:t>
      </w:r>
    </w:p>
    <w:p>
      <w:pPr>
        <w:spacing w:after="120"/>
      </w:pPr>
      <w:r>
        <w:rPr>
          <w:rFonts w:ascii="Malgun Gothic" w:hAnsi="Malgun Gothic" w:eastAsia="Malgun Gothic"/>
          <w:b w:val="0"/>
          <w:i w:val="0"/>
          <w:color w:val="24323D"/>
          <w:sz w:val="21"/>
        </w:rPr>
        <w:t>특정 제품을 임의로 우대하는 방식보다 실제 구매 데이터를 기반으로 적합한 제품을 추천함으로써 구매전환율·재구매율·고객 유지율을 높이고 컴플라이언스 리스크를 줄이는 것을 지향한다.</w:t>
      </w:r>
    </w:p>
    <w:p>
      <w:r>
        <w:br w:type="page"/>
      </w:r>
    </w:p>
    <w:p>
      <w:pPr>
        <w:pStyle w:val="Heading1"/>
      </w:pPr>
      <w:r>
        <w:t>3. AI 솔루션</w:t>
      </w:r>
    </w:p>
    <w:p>
      <w:pPr>
        <w:pStyle w:val="Heading2"/>
      </w:pPr>
      <w:r>
        <w:t>3.1 핵심 사용자 흐름</w:t>
      </w:r>
    </w:p>
    <w:tbl>
      <w:tblPr>
        <w:tblStyle w:val="TableGrid"/>
        <w:tblW w:type="dxa" w:w="9360"/>
        <w:jc w:val="center"/>
        <w:tblLayout w:type="fixed"/>
        <w:tblLook w:firstColumn="1" w:firstRow="1" w:lastColumn="0" w:lastRow="0" w:noHBand="0" w:noVBand="1" w:val="04A0"/>
        <w:tblLayout w:type="fixed"/>
        <w:tblInd w:w="120" w:type="dxa"/>
      </w:tblPr>
      <w:tblGrid>
        <w:gridCol w:w="792"/>
        <w:gridCol w:w="3024"/>
        <w:gridCol w:w="5544"/>
      </w:tblGrid>
      <w:tr>
        <w:trPr>
          <w:tblHeader/>
          <w:cantSplit/>
        </w:trPr>
        <w:tc>
          <w:tcPr>
            <w:tcW w:type="dxa" w:w="79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단계</w:t>
            </w:r>
          </w:p>
        </w:tc>
        <w:tc>
          <w:tcPr>
            <w:tcW w:type="dxa" w:w="302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사용자 행동</w:t>
            </w:r>
          </w:p>
        </w:tc>
        <w:tc>
          <w:tcPr>
            <w:tcW w:type="dxa" w:w="55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시스템 처리</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1</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계정 등록 및 로그인</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역할에 맞는 접근 권한 확인</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2</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의약품 탐색</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약효군별 목록·상세 정보 제공</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3</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신청</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존재와 중복 신청 검증 후 PENDING 생성</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4</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처리</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 UUID 생성 및 payment.completed 발행</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5</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확정</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이벤트 수신 후 주문 상태를 ACTIVE로 변경</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6</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추천 확인</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구매 이력 기반 미구매 연관 품목 추천</w:t>
            </w:r>
          </w:p>
        </w:tc>
      </w:tr>
    </w:tbl>
    <w:p>
      <w:pPr>
        <w:spacing w:after="20"/>
      </w:pPr>
    </w:p>
    <w:p>
      <w:pPr>
        <w:pStyle w:val="Heading2"/>
      </w:pPr>
      <w:r>
        <w:t>3.2 AI의 역할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MVP 추천 규칙</w:t>
            </w:r>
          </w:p>
          <w:p>
            <w:pPr>
              <w:spacing w:after="0" w:line="269" w:lineRule="auto"/>
            </w:pPr>
            <w:r>
              <w:rPr>
                <w:rFonts w:ascii="Malgun Gothic" w:hAnsi="Malgun Gothic" w:eastAsia="Malgun Gothic"/>
                <w:b w:val="0"/>
                <w:i w:val="0"/>
                <w:color w:val="24323D"/>
                <w:sz w:val="20"/>
              </w:rPr>
              <w:t>구매 이력이 있으면 가장 많이 구매한 약효군을 찾고, 해당 약효군에서 아직 구매하지 않은 제품을 추천한다. 구매 이력이 없는 신규 거래처에는 누적 발주 건수가 높은 인기 제품을 추천한다.</w:t>
            </w:r>
          </w:p>
        </w:tc>
      </w:tr>
    </w:tbl>
    <w:p>
      <w:pPr>
        <w:spacing w:after="20"/>
      </w:pPr>
    </w:p>
    <w:p>
      <w:pPr>
        <w:pStyle w:val="Heading2"/>
      </w:pPr>
      <w:r>
        <w:t>3.3 발전 방향</w:t>
      </w:r>
    </w:p>
    <w:p>
      <w:pPr>
        <w:pStyle w:val="ListBullet"/>
        <w:spacing w:after="80"/>
      </w:pPr>
      <w:r>
        <w:rPr>
          <w:rFonts w:ascii="Malgun Gothic" w:hAnsi="Malgun Gothic" w:eastAsia="Malgun Gothic"/>
          <w:b w:val="0"/>
          <w:i w:val="0"/>
          <w:color w:val="24323D"/>
          <w:sz w:val="20"/>
        </w:rPr>
        <w:t>거래처 규모·진료과가 유사한 기관의 구매 패턴을 활용한 추천</w:t>
      </w:r>
    </w:p>
    <w:p>
      <w:pPr>
        <w:pStyle w:val="ListBullet"/>
        <w:spacing w:after="80"/>
      </w:pPr>
      <w:r>
        <w:rPr>
          <w:rFonts w:ascii="Malgun Gothic" w:hAnsi="Malgun Gothic" w:eastAsia="Malgun Gothic"/>
          <w:b w:val="0"/>
          <w:i w:val="0"/>
          <w:color w:val="24323D"/>
          <w:sz w:val="20"/>
        </w:rPr>
        <w:t>주문 증가율·재주문율·동일 계열 등 추천 이유 제공</w:t>
      </w:r>
    </w:p>
    <w:p>
      <w:pPr>
        <w:pStyle w:val="ListBullet"/>
        <w:spacing w:after="80"/>
      </w:pPr>
      <w:r>
        <w:rPr>
          <w:rFonts w:ascii="Malgun Gothic" w:hAnsi="Malgun Gothic" w:eastAsia="Malgun Gothic"/>
          <w:b w:val="0"/>
          <w:i w:val="0"/>
          <w:color w:val="24323D"/>
          <w:sz w:val="20"/>
        </w:rPr>
        <w:t>구매 주기를 활용한 예상 재주문 시점 알림</w:t>
      </w:r>
    </w:p>
    <w:p>
      <w:pPr>
        <w:pStyle w:val="ListBullet"/>
        <w:spacing w:after="80"/>
      </w:pPr>
      <w:r>
        <w:rPr>
          <w:rFonts w:ascii="Malgun Gothic" w:hAnsi="Malgun Gothic" w:eastAsia="Malgun Gothic"/>
          <w:b w:val="0"/>
          <w:i w:val="0"/>
          <w:color w:val="24323D"/>
          <w:sz w:val="20"/>
        </w:rPr>
        <w:t>성분·함량·제형·허가사항을 고려한 대체 제품 추천</w:t>
      </w:r>
    </w:p>
    <w:p>
      <w:pPr>
        <w:spacing w:after="0"/>
      </w:pPr>
      <w:r>
        <w:rPr>
          <w:rFonts w:ascii="Malgun Gothic" w:hAnsi="Malgun Gothic" w:eastAsia="Malgun Gothic"/>
          <w:b w:val="0"/>
          <w:i/>
          <w:color w:val="657784"/>
          <w:sz w:val="18"/>
        </w:rPr>
        <w:t>※ 확장 기능은 추가 데이터가 필요한 후속 백로그이며, 이번 실습의 구현 범위에는 포함하지 않는다.</w:t>
      </w:r>
    </w:p>
    <w:p>
      <w:r>
        <w:br w:type="page"/>
      </w:r>
    </w:p>
    <w:p>
      <w:pPr>
        <w:pStyle w:val="Heading1"/>
      </w:pPr>
      <w:r>
        <w:t>4. Agile 실행 계획</w:t>
      </w:r>
    </w:p>
    <w:p>
      <w:pPr>
        <w:pStyle w:val="Heading2"/>
      </w:pPr>
      <w:r>
        <w:t>4.1 백로그 우선순위 기준</w:t>
      </w:r>
    </w:p>
    <w:tbl>
      <w:tblPr>
        <w:tblStyle w:val="TableGrid"/>
        <w:tblW w:type="dxa" w:w="9360"/>
        <w:jc w:val="center"/>
        <w:tblLayout w:type="fixed"/>
        <w:tblLook w:firstColumn="1" w:firstRow="1" w:lastColumn="0" w:lastRow="0" w:noHBand="0" w:noVBand="1" w:val="04A0"/>
        <w:tblLayout w:type="fixed"/>
        <w:tblInd w:w="120" w:type="dxa"/>
      </w:tblPr>
      <w:tblGrid>
        <w:gridCol w:w="1944"/>
        <w:gridCol w:w="7416"/>
      </w:tblGrid>
      <w:tr>
        <w:trPr>
          <w:tblHeader/>
          <w:cantSplit/>
        </w:trPr>
        <w:tc>
          <w:tcPr>
            <w:tcW w:type="dxa" w:w="19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기준</w:t>
            </w:r>
          </w:p>
        </w:tc>
        <w:tc>
          <w:tcPr>
            <w:tcW w:type="dxa" w:w="74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판단 질문</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사용자 가치</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의약품 탐색과 발주라는 핵심 가치를 제공하는 데 반드시 필요한가?</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기능 의존성</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다음 기능이 실행되기 전에 먼저 생성되어야 하는 데이터인가?</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기술 위험</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REST·Kafka·추천 연동을 단계적으로 검증할 수 있는가?</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실현 가능성</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제공된 템플릿과 실습 시간 안에 동작 결과를 보여줄 수 있는가?</w:t>
            </w:r>
          </w:p>
        </w:tc>
      </w:tr>
    </w:tbl>
    <w:p>
      <w:pPr>
        <w:spacing w:after="20"/>
      </w:pPr>
    </w:p>
    <w:p>
      <w:pPr>
        <w:pStyle w:val="Heading2"/>
      </w:pPr>
      <w:r>
        <w:t>4.2 Sprint 구분</w:t>
      </w:r>
    </w:p>
    <w:tbl>
      <w:tblPr>
        <w:tblStyle w:val="TableGrid"/>
        <w:tblW w:type="dxa" w:w="9360"/>
        <w:jc w:val="center"/>
        <w:tblLayout w:type="fixed"/>
        <w:tblLook w:firstColumn="1" w:firstRow="1" w:lastColumn="0" w:lastRow="0" w:noHBand="0" w:noVBand="1" w:val="04A0"/>
        <w:tblLayout w:type="fixed"/>
        <w:tblInd w:w="120" w:type="dxa"/>
      </w:tblPr>
      <w:tblGrid>
        <w:gridCol w:w="1296"/>
        <w:gridCol w:w="2088"/>
        <w:gridCol w:w="2880"/>
        <w:gridCol w:w="3096"/>
      </w:tblGrid>
      <w:tr>
        <w:trPr>
          <w:tblHeader/>
          <w:cantSplit/>
        </w:trPr>
        <w:tc>
          <w:tcPr>
            <w:tcW w:type="dxa" w:w="129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20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목표</w:t>
            </w:r>
          </w:p>
        </w:tc>
        <w:tc>
          <w:tcPr>
            <w:tcW w:type="dxa" w:w="28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포함 기능</w:t>
            </w:r>
          </w:p>
        </w:tc>
        <w:tc>
          <w:tcPr>
            <w:tcW w:type="dxa" w:w="309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분리 이유</w:t>
            </w:r>
          </w:p>
        </w:tc>
      </w:tr>
      <w:tr>
        <w:trPr>
          <w:cantSplit/>
        </w:trPr>
        <w:tc>
          <w:tcPr>
            <w:tcW w:type="dxa" w:w="1296"/>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Sprint 1</w:t>
            </w:r>
          </w:p>
        </w:tc>
        <w:tc>
          <w:tcPr>
            <w:tcW w:type="dxa" w:w="20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발주 가능한 최소 서비스</w:t>
            </w:r>
          </w:p>
        </w:tc>
        <w:tc>
          <w:tcPr>
            <w:tcW w:type="dxa" w:w="28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회원가입·로그인, 의약품 등록·조회, 발주 신청·조회</w:t>
            </w:r>
          </w:p>
        </w:tc>
        <w:tc>
          <w:tcPr>
            <w:tcW w:type="dxa" w:w="309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계정 → 의약품 → 발주의 완결된 Walking Skeleton을 먼저 검증</w:t>
            </w:r>
          </w:p>
        </w:tc>
      </w:tr>
      <w:tr>
        <w:trPr>
          <w:cantSplit/>
        </w:trPr>
        <w:tc>
          <w:tcPr>
            <w:tcW w:type="dxa" w:w="1296"/>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Sprint 2</w:t>
            </w:r>
          </w:p>
        </w:tc>
        <w:tc>
          <w:tcPr>
            <w:tcW w:type="dxa" w:w="208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거래 자동화와 추천 확장</w:t>
            </w:r>
          </w:p>
        </w:tc>
        <w:tc>
          <w:tcPr>
            <w:tcW w:type="dxa" w:w="28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결제, Kafka 상태 변경, 구매 이력 기반 추천</w:t>
            </w:r>
          </w:p>
        </w:tc>
        <w:tc>
          <w:tcPr>
            <w:tcW w:type="dxa" w:w="309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Sprint 1에서 생성된 데이터와 피드백을 바탕으로 연동 위험이 큰 기능을 확장</w:t>
            </w:r>
          </w:p>
        </w:tc>
      </w:tr>
    </w:tbl>
    <w:p>
      <w:pPr>
        <w:spacing w:after="20"/>
      </w:pP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상태 정의</w:t>
            </w:r>
          </w:p>
          <w:p>
            <w:pPr>
              <w:spacing w:after="0" w:line="269" w:lineRule="auto"/>
            </w:pPr>
            <w:r>
              <w:rPr>
                <w:rFonts w:ascii="Malgun Gothic" w:hAnsi="Malgun Gothic" w:eastAsia="Malgun Gothic"/>
                <w:b w:val="0"/>
                <w:i w:val="0"/>
                <w:color w:val="24323D"/>
                <w:sz w:val="20"/>
              </w:rPr>
              <w:t>PENDING은 결제 대기, ACTIVE는 결제 완료에 따른 발주 확정, CANCELLED는 발주 취소를 의미한다. 실제 입고 완료는 배송·입고 이벤트가 없으므로 이번 범위에서 사용하지 않는다.</w:t>
            </w:r>
          </w:p>
        </w:tc>
      </w:tr>
    </w:tbl>
    <w:p>
      <w:pPr>
        <w:spacing w:after="20"/>
      </w:pPr>
    </w:p>
    <w:p>
      <w:r>
        <w:br w:type="page"/>
      </w:r>
    </w:p>
    <w:p>
      <w:pPr>
        <w:pStyle w:val="Heading1"/>
      </w:pPr>
      <w:r>
        <w:t>5. MSA 설계</w:t>
      </w:r>
    </w:p>
    <w:p>
      <w:pPr>
        <w:pStyle w:val="Heading2"/>
      </w:pPr>
      <w:r>
        <w:t>5.1 서비스 경계</w:t>
      </w:r>
    </w:p>
    <w:tbl>
      <w:tblPr>
        <w:tblStyle w:val="TableGrid"/>
        <w:tblW w:type="dxa" w:w="9360"/>
        <w:jc w:val="center"/>
        <w:tblLayout w:type="fixed"/>
        <w:tblLook w:firstColumn="1" w:firstRow="1" w:lastColumn="0" w:lastRow="0" w:noHBand="0" w:noVBand="1" w:val="04A0"/>
        <w:tblLayout w:type="fixed"/>
        <w:tblInd w:w="120" w:type="dxa"/>
      </w:tblPr>
      <w:tblGrid>
        <w:gridCol w:w="2088"/>
        <w:gridCol w:w="2160"/>
        <w:gridCol w:w="5112"/>
      </w:tblGrid>
      <w:tr>
        <w:trPr>
          <w:tblHeader/>
          <w:cantSplit/>
        </w:trPr>
        <w:tc>
          <w:tcPr>
            <w:tcW w:type="dxa" w:w="20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기존 서비스</w:t>
            </w:r>
          </w:p>
        </w:tc>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 명칭</w:t>
            </w:r>
          </w:p>
        </w:tc>
        <w:tc>
          <w:tcPr>
            <w:tcW w:type="dxa" w:w="511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책임</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user-service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partner-service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CSO 및 약국·병원 사용자·거래처 관리</w:t>
            </w:r>
          </w:p>
        </w:tc>
      </w:tr>
      <w:tr>
        <w:trPr>
          <w:cantSplit/>
        </w:trPr>
        <w:tc>
          <w:tcPr>
            <w:tcW w:type="dxa" w:w="208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course-service</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product-service</w:t>
            </w:r>
          </w:p>
        </w:tc>
        <w:tc>
          <w:tcPr>
            <w:tcW w:type="dxa" w:w="511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의약품 등록·분류·제품 정보 관리</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enrollment-service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order-service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의약품 발주 신청과 상태 관리</w:t>
            </w:r>
          </w:p>
        </w:tc>
      </w:tr>
      <w:tr>
        <w:trPr>
          <w:cantSplit/>
        </w:trPr>
        <w:tc>
          <w:tcPr>
            <w:tcW w:type="dxa" w:w="208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payment-service</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payment-service</w:t>
            </w:r>
          </w:p>
        </w:tc>
        <w:tc>
          <w:tcPr>
            <w:tcW w:type="dxa" w:w="511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구매 승인, 결제와 거래 기록 관리</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recommend-service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recommend-service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거래처 구매 이력 기반 의약품 추천</w:t>
            </w:r>
          </w:p>
        </w:tc>
      </w:tr>
    </w:tbl>
    <w:p>
      <w:pPr>
        <w:spacing w:after="20"/>
      </w:pPr>
    </w:p>
    <w:p>
      <w:pPr>
        <w:pStyle w:val="Heading2"/>
      </w:pPr>
      <w:r>
        <w:t>5.2 서비스 간 통신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통신 흐름</w:t>
            </w:r>
          </w:p>
          <w:p>
            <w:pPr>
              <w:spacing w:after="0" w:line="269" w:lineRule="auto"/>
            </w:pPr>
            <w:r>
              <w:rPr>
                <w:rFonts w:ascii="Malgun Gothic" w:hAnsi="Malgun Gothic" w:eastAsia="Malgun Gothic"/>
                <w:b w:val="0"/>
                <w:i w:val="0"/>
                <w:color w:val="24323D"/>
                <w:sz w:val="20"/>
              </w:rPr>
              <w:t>Client → API Gateway → Partner / Product / Order / Recommend</w:t>
              <w:br/>
              <w:t>Order → Product (제품 확인, REST)</w:t>
              <w:br/>
              <w:t>Order → Payment (결제 요청, REST)</w:t>
              <w:br/>
              <w:t>Payment → Kafka: payment.completed → Order 상태 ACTIVE</w:t>
              <w:br/>
              <w:t>Order → Kafka: enrollment.completed → Recommend 갱신</w:t>
            </w:r>
          </w:p>
        </w:tc>
      </w:tr>
    </w:tbl>
    <w:p>
      <w:pPr>
        <w:spacing w:after="20"/>
      </w:pPr>
    </w:p>
    <w:p>
      <w:pPr>
        <w:pStyle w:val="Heading2"/>
      </w:pPr>
      <w:r>
        <w:t>5.3 분할 원칙과 인프라</w:t>
      </w:r>
    </w:p>
    <w:p>
      <w:pPr>
        <w:spacing w:after="120"/>
      </w:pPr>
      <w:r>
        <w:rPr>
          <w:rFonts w:ascii="Malgun Gothic" w:hAnsi="Malgun Gothic" w:eastAsia="Malgun Gothic"/>
          <w:b w:val="0"/>
          <w:i w:val="0"/>
          <w:color w:val="24323D"/>
          <w:sz w:val="21"/>
        </w:rPr>
        <w:t>서비스는 업무 책임과 데이터의 생성·변경 주체를 기준으로 분리한다. 각 서비스는 자신이 소유한 데이터를 직접 변경하고, 다른 서비스의 데이터는 REST API 또는 Kafka 이벤트를 통해 사용한다.</w:t>
      </w:r>
    </w:p>
    <w:tbl>
      <w:tblPr>
        <w:tblStyle w:val="TableGrid"/>
        <w:tblW w:type="dxa" w:w="9360"/>
        <w:jc w:val="center"/>
        <w:tblLayout w:type="fixed"/>
        <w:tblLook w:firstColumn="1" w:firstRow="1" w:lastColumn="0" w:lastRow="0" w:noHBand="0" w:noVBand="1" w:val="04A0"/>
        <w:tblLayout w:type="fixed"/>
        <w:tblInd w:w="120" w:type="dxa"/>
      </w:tblPr>
      <w:tblGrid>
        <w:gridCol w:w="2160"/>
        <w:gridCol w:w="7200"/>
      </w:tblGrid>
      <w:tr>
        <w:trPr>
          <w:tblHeader/>
          <w:cantSplit/>
        </w:trPr>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인프라</w:t>
            </w:r>
          </w:p>
        </w:tc>
        <w:tc>
          <w:tcPr>
            <w:tcW w:type="dxa" w:w="72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역할</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API Gateway</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클라이언트 요청의 단일 진입점과 서비스별 라우팅</w:t>
            </w:r>
          </w:p>
        </w:tc>
      </w:tr>
      <w:tr>
        <w:trPr>
          <w:cantSplit/>
        </w:trPr>
        <w:tc>
          <w:tcPr>
            <w:tcW w:type="dxa" w:w="216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Auth Server</w:t>
            </w:r>
          </w:p>
        </w:tc>
        <w:tc>
          <w:tcPr>
            <w:tcW w:type="dxa" w:w="720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OAuth2 로그인과 토큰 발급</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Eureka</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서비스 등록과 탐색</w:t>
            </w:r>
          </w:p>
        </w:tc>
      </w:tr>
      <w:tr>
        <w:trPr>
          <w:cantSplit/>
        </w:trPr>
        <w:tc>
          <w:tcPr>
            <w:tcW w:type="dxa" w:w="216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Kafka</w:t>
            </w:r>
          </w:p>
        </w:tc>
        <w:tc>
          <w:tcPr>
            <w:tcW w:type="dxa" w:w="720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완료 및 발주 확정 이벤트 전달</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MariaDB</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서비스별 업무 데이터 저장</w:t>
            </w:r>
          </w:p>
        </w:tc>
      </w:tr>
    </w:tbl>
    <w:p>
      <w:pPr>
        <w:spacing w:after="20"/>
      </w:pPr>
    </w:p>
    <w:p>
      <w:r>
        <w:br w:type="page"/>
      </w:r>
    </w:p>
    <w:p>
      <w:pPr>
        <w:pStyle w:val="Heading1"/>
      </w:pPr>
      <w:r>
        <w:t>6. 데이터 설계</w:t>
      </w:r>
    </w:p>
    <w:p>
      <w:pPr>
        <w:pStyle w:val="Heading2"/>
      </w:pPr>
      <w:r>
        <w:t>6.1 도메인 매핑</w:t>
      </w:r>
    </w:p>
    <w:tbl>
      <w:tblPr>
        <w:tblStyle w:val="TableGrid"/>
        <w:tblW w:type="dxa" w:w="9360"/>
        <w:jc w:val="center"/>
        <w:tblLayout w:type="fixed"/>
        <w:tblLook w:firstColumn="1" w:firstRow="1" w:lastColumn="0" w:lastRow="0" w:noHBand="0" w:noVBand="1" w:val="04A0"/>
        <w:tblLayout w:type="fixed"/>
        <w:tblInd w:w="120" w:type="dxa"/>
      </w:tblPr>
      <w:tblGrid>
        <w:gridCol w:w="1800"/>
        <w:gridCol w:w="2232"/>
        <w:gridCol w:w="5328"/>
      </w:tblGrid>
      <w:tr>
        <w:trPr>
          <w:tblHeader/>
          <w:cantSplit/>
        </w:trPr>
        <w:tc>
          <w:tcPr>
            <w:tcW w:type="dxa" w:w="18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기존 데이터</w:t>
            </w:r>
          </w:p>
        </w:tc>
        <w:tc>
          <w:tcPr>
            <w:tcW w:type="dxa" w:w="223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 의미</w:t>
            </w:r>
          </w:p>
        </w:tc>
        <w:tc>
          <w:tcPr>
            <w:tcW w:type="dxa" w:w="532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핵심 필드</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users</w:t>
            </w:r>
          </w:p>
        </w:tc>
        <w:tc>
          <w:tcPr>
            <w:tcW w:type="dxa" w:w="223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거래처·담당자</w:t>
            </w:r>
          </w:p>
        </w:tc>
        <w:tc>
          <w:tcPr>
            <w:tcW w:type="dxa" w:w="532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id, email, password, name, role</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courses</w:t>
            </w:r>
          </w:p>
        </w:tc>
        <w:tc>
          <w:tcPr>
            <w:tcW w:type="dxa" w:w="223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의약품</w:t>
            </w:r>
          </w:p>
        </w:tc>
        <w:tc>
          <w:tcPr>
            <w:tcW w:type="dxa" w:w="532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id, title, description, category, price, instructor_id, enrollment_count, status</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enrollments</w:t>
            </w:r>
          </w:p>
        </w:tc>
        <w:tc>
          <w:tcPr>
            <w:tcW w:type="dxa" w:w="223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발주</w:t>
            </w:r>
          </w:p>
        </w:tc>
        <w:tc>
          <w:tcPr>
            <w:tcW w:type="dxa" w:w="532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id, user_id, course_id, status, created_at, updated_at</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payments</w:t>
            </w:r>
          </w:p>
        </w:tc>
        <w:tc>
          <w:tcPr>
            <w:tcW w:type="dxa" w:w="223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결제·정산</w:t>
            </w:r>
          </w:p>
        </w:tc>
        <w:tc>
          <w:tcPr>
            <w:tcW w:type="dxa" w:w="532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id, user_id, course_id, amount, status, transaction_id</w:t>
            </w:r>
          </w:p>
        </w:tc>
      </w:tr>
    </w:tbl>
    <w:p>
      <w:pPr>
        <w:spacing w:after="20"/>
      </w:pPr>
    </w:p>
    <w:p>
      <w:pPr>
        <w:pStyle w:val="Heading2"/>
      </w:pPr>
      <w:r>
        <w:t>6.2 내부 코드값의 업무 의미</w:t>
      </w:r>
    </w:p>
    <w:tbl>
      <w:tblPr>
        <w:tblStyle w:val="TableGrid"/>
        <w:tblW w:type="dxa" w:w="9360"/>
        <w:jc w:val="center"/>
        <w:tblLayout w:type="fixed"/>
        <w:tblLook w:firstColumn="1" w:firstRow="1" w:lastColumn="0" w:lastRow="0" w:noHBand="0" w:noVBand="1" w:val="04A0"/>
        <w:tblLayout w:type="fixed"/>
        <w:tblInd w:w="120" w:type="dxa"/>
      </w:tblPr>
      <w:tblGrid>
        <w:gridCol w:w="1440"/>
        <w:gridCol w:w="2160"/>
        <w:gridCol w:w="5760"/>
      </w:tblGrid>
      <w:tr>
        <w:trPr>
          <w:tblHeader/>
          <w:cantSplit/>
        </w:trPr>
        <w:tc>
          <w:tcPr>
            <w:tcW w:type="dxa" w:w="144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코드값</w:t>
            </w:r>
          </w:p>
        </w:tc>
        <w:tc>
          <w:tcPr>
            <w:tcW w:type="dxa" w:w="57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 의미</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역할</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INSTRUCTOR</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제약사·CSO 관리자</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역할</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STUDENT</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약국·병원 구매 담당자</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PENDING</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대기</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ACTIVE</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발주 확정</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CANCELLED</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취소</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결제</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COMPLETED</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완료</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결제</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FAILED</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실패</w:t>
            </w:r>
          </w:p>
        </w:tc>
      </w:tr>
    </w:tbl>
    <w:p>
      <w:pPr>
        <w:spacing w:after="20"/>
      </w:pPr>
    </w:p>
    <w:p>
      <w:pPr>
        <w:pStyle w:val="Heading2"/>
      </w:pPr>
      <w:r>
        <w:t>6.3 주요 관계</w:t>
      </w:r>
    </w:p>
    <w:p>
      <w:pPr>
        <w:pStyle w:val="ListBullet"/>
        <w:spacing w:after="80"/>
      </w:pPr>
      <w:r>
        <w:rPr>
          <w:rFonts w:ascii="Malgun Gothic" w:hAnsi="Malgun Gothic" w:eastAsia="Malgun Gothic"/>
          <w:b w:val="0"/>
          <w:i w:val="0"/>
          <w:color w:val="24323D"/>
          <w:sz w:val="20"/>
        </w:rPr>
        <w:t>CSO 관리자는 여러 의약품을 등록한다.</w:t>
      </w:r>
    </w:p>
    <w:p>
      <w:pPr>
        <w:pStyle w:val="ListBullet"/>
        <w:spacing w:after="80"/>
      </w:pPr>
      <w:r>
        <w:rPr>
          <w:rFonts w:ascii="Malgun Gothic" w:hAnsi="Malgun Gothic" w:eastAsia="Malgun Gothic"/>
          <w:b w:val="0"/>
          <w:i w:val="0"/>
          <w:color w:val="24323D"/>
          <w:sz w:val="20"/>
        </w:rPr>
        <w:t>약국·병원 구매 담당자는 여러 의약품을 발주한다.</w:t>
      </w:r>
    </w:p>
    <w:p>
      <w:pPr>
        <w:pStyle w:val="ListBullet"/>
        <w:spacing w:after="80"/>
      </w:pPr>
      <w:r>
        <w:rPr>
          <w:rFonts w:ascii="Malgun Gothic" w:hAnsi="Malgun Gothic" w:eastAsia="Malgun Gothic"/>
          <w:b w:val="0"/>
          <w:i w:val="0"/>
          <w:color w:val="24323D"/>
          <w:sz w:val="20"/>
        </w:rPr>
        <w:t>제품별 발주 이력과 거래처별 결제 이력을 관리한다.</w:t>
      </w:r>
    </w:p>
    <w:p>
      <w:pPr>
        <w:pStyle w:val="ListBullet"/>
        <w:spacing w:after="80"/>
      </w:pPr>
      <w:r>
        <w:rPr>
          <w:rFonts w:ascii="Malgun Gothic" w:hAnsi="Malgun Gothic" w:eastAsia="Malgun Gothic"/>
          <w:b w:val="0"/>
          <w:i w:val="0"/>
          <w:color w:val="24323D"/>
          <w:sz w:val="20"/>
        </w:rPr>
        <w:t>추천 서비스는 발주·제품 데이터를 읽어 추천 결과를 계산한다.</w:t>
      </w:r>
    </w:p>
    <w:p>
      <w:r>
        <w:br w:type="page"/>
      </w:r>
    </w:p>
    <w:p>
      <w:pPr>
        <w:pStyle w:val="Heading1"/>
      </w:pPr>
      <w:r>
        <w:t>7. Product Backlog</w:t>
      </w:r>
    </w:p>
    <w:tbl>
      <w:tblPr>
        <w:tblStyle w:val="TableGrid"/>
        <w:tblW w:type="dxa" w:w="9360"/>
        <w:jc w:val="center"/>
        <w:tblLayout w:type="fixed"/>
        <w:tblLook w:firstColumn="1" w:firstRow="1" w:lastColumn="0" w:lastRow="0" w:noHBand="0" w:noVBand="1" w:val="04A0"/>
        <w:tblLayout w:type="fixed"/>
        <w:tblInd w:w="120" w:type="dxa"/>
      </w:tblPr>
      <w:tblGrid>
        <w:gridCol w:w="893"/>
        <w:gridCol w:w="1037"/>
        <w:gridCol w:w="3816"/>
        <w:gridCol w:w="2952"/>
        <w:gridCol w:w="662"/>
      </w:tblGrid>
      <w:tr>
        <w:trPr>
          <w:tblHeader/>
          <w:cantSplit/>
        </w:trPr>
        <w:tc>
          <w:tcPr>
            <w:tcW w:type="dxa" w:w="893"/>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ID</w:t>
            </w:r>
          </w:p>
        </w:tc>
        <w:tc>
          <w:tcPr>
            <w:tcW w:type="dxa" w:w="1037"/>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Epic</w:t>
            </w:r>
          </w:p>
        </w:tc>
        <w:tc>
          <w:tcPr>
            <w:tcW w:type="dxa" w:w="38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사용자 스토리</w:t>
            </w:r>
          </w:p>
        </w:tc>
        <w:tc>
          <w:tcPr>
            <w:tcW w:type="dxa" w:w="295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수용 기준 핵심</w:t>
            </w:r>
          </w:p>
        </w:tc>
        <w:tc>
          <w:tcPr>
            <w:tcW w:type="dxa" w:w="66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Sprint</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US-01</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계정</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CSO·구매 담당자가 이메일·비밀번호·역할로 계정을 등록한다.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이메일 중복 검증, BCrypt 암호화, 역할 분리</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US-02</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계정</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거래처 담당자가 토큰 기반으로 내 정보를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X-User-Id 기반 사용자 조회</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US-03</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CSO 관리자가 신규 의약품을 등록한다.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권한 확인, ACTIVE 등록, 누적 발주 0</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US-04</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구매 담당자가 약효군별 의약품을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분류 필터, 상세 정보, 누적 발주 노출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US-06</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담당자가 의약품 발주를 신청한다.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 확인, 중복 방지, PENDING 생성</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US-07</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구매 담당자가 내 발주 내역과 상태를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본인 발주, 제품 정보, 상태 표시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US-05</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확정 시 누적 발주 건수를 증가시킨다.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내부 REST, 원자적 카운트 증가</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US-08</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 완료 이벤트로 발주를 확정한다.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Kafka 수신, ACTIVE 변경, 후속 이벤트</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US-09</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결제</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내부 결제를 처리하고 거래 UUID를 발급한다.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COMPLETED, UUID, 이벤트 발행</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US-10</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거래처별 결제 내역과 거래번호를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 목록과 증빙 정보 제공</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US-11</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추천</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이력 기반 미구매 연관 제품을 추천한다.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최빈 약효군, 미구매 제품, 상위 5개</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US-12</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추천</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신규 거래처에 인기 의약품을 추천한다.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이력 없음 식별, 누적 발주순 상위 5개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bl>
    <w:p>
      <w:pPr>
        <w:spacing w:after="20"/>
      </w:pPr>
    </w:p>
    <w:p>
      <w:r>
        <w:br w:type="page"/>
      </w:r>
    </w:p>
    <w:p>
      <w:pPr>
        <w:pStyle w:val="Heading1"/>
      </w:pPr>
      <w:r>
        <w:t>8. 검증 포인트와 후속 과제</w:t>
      </w:r>
    </w:p>
    <w:p>
      <w:pPr>
        <w:pStyle w:val="Heading2"/>
      </w:pPr>
      <w:r>
        <w:t>8.1 이번 실습의 완료 기준</w:t>
      </w:r>
    </w:p>
    <w:p>
      <w:pPr>
        <w:pStyle w:val="ListBullet"/>
        <w:spacing w:after="80"/>
      </w:pPr>
      <w:r>
        <w:rPr>
          <w:rFonts w:ascii="Malgun Gothic" w:hAnsi="Malgun Gothic" w:eastAsia="Malgun Gothic"/>
          <w:b w:val="0"/>
          <w:i w:val="0"/>
          <w:color w:val="24323D"/>
          <w:sz w:val="20"/>
        </w:rPr>
        <w:t>사용자가 로그인한 뒤 의약품을 조회하고 발주할 수 있다.</w:t>
      </w:r>
    </w:p>
    <w:p>
      <w:pPr>
        <w:pStyle w:val="ListBullet"/>
        <w:spacing w:after="80"/>
      </w:pPr>
      <w:r>
        <w:rPr>
          <w:rFonts w:ascii="Malgun Gothic" w:hAnsi="Malgun Gothic" w:eastAsia="Malgun Gothic"/>
          <w:b w:val="0"/>
          <w:i w:val="0"/>
          <w:color w:val="24323D"/>
          <w:sz w:val="20"/>
        </w:rPr>
        <w:t>발주 생성 시 PENDING 상태가 확인된다.</w:t>
      </w:r>
    </w:p>
    <w:p>
      <w:pPr>
        <w:pStyle w:val="ListBullet"/>
        <w:spacing w:after="80"/>
      </w:pPr>
      <w:r>
        <w:rPr>
          <w:rFonts w:ascii="Malgun Gothic" w:hAnsi="Malgun Gothic" w:eastAsia="Malgun Gothic"/>
          <w:b w:val="0"/>
          <w:i w:val="0"/>
          <w:color w:val="24323D"/>
          <w:sz w:val="20"/>
        </w:rPr>
        <w:t>결제 완료 이벤트 수신 후 발주 상태가 ACTIVE로 변경된다.</w:t>
      </w:r>
    </w:p>
    <w:p>
      <w:pPr>
        <w:pStyle w:val="ListBullet"/>
        <w:spacing w:after="80"/>
      </w:pPr>
      <w:r>
        <w:rPr>
          <w:rFonts w:ascii="Malgun Gothic" w:hAnsi="Malgun Gothic" w:eastAsia="Malgun Gothic"/>
          <w:b w:val="0"/>
          <w:i w:val="0"/>
          <w:color w:val="24323D"/>
          <w:sz w:val="20"/>
        </w:rPr>
        <w:t>구매 이력 유무에 따라 다른 추천 결과가 반환된다.</w:t>
      </w:r>
    </w:p>
    <w:p>
      <w:pPr>
        <w:pStyle w:val="ListBullet"/>
        <w:spacing w:after="80"/>
      </w:pPr>
      <w:r>
        <w:rPr>
          <w:rFonts w:ascii="Malgun Gothic" w:hAnsi="Malgun Gothic" w:eastAsia="Malgun Gothic"/>
          <w:b w:val="0"/>
          <w:i w:val="0"/>
          <w:color w:val="24323D"/>
          <w:sz w:val="20"/>
        </w:rPr>
        <w:t>Swagger UI와 화면 캡처로 요청 전·후 상태 변화를 증빙한다.</w:t>
      </w:r>
    </w:p>
    <w:p>
      <w:pPr>
        <w:pStyle w:val="Heading2"/>
      </w:pPr>
      <w:r>
        <w:t>8.2 알려진 제약</w:t>
      </w:r>
    </w:p>
    <w:tbl>
      <w:tblPr>
        <w:tblStyle w:val="TableGrid"/>
        <w:tblW w:type="dxa" w:w="9360"/>
        <w:jc w:val="center"/>
        <w:tblLayout w:type="fixed"/>
        <w:tblLook w:firstColumn="1" w:firstRow="1" w:lastColumn="0" w:lastRow="0" w:noHBand="0" w:noVBand="1" w:val="04A0"/>
        <w:tblLayout w:type="fixed"/>
        <w:tblInd w:w="120" w:type="dxa"/>
      </w:tblPr>
      <w:tblGrid>
        <w:gridCol w:w="1800"/>
        <w:gridCol w:w="3384"/>
        <w:gridCol w:w="4176"/>
      </w:tblGrid>
      <w:tr>
        <w:trPr>
          <w:tblHeader/>
          <w:cantSplit/>
        </w:trPr>
        <w:tc>
          <w:tcPr>
            <w:tcW w:type="dxa" w:w="18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제약</w:t>
            </w:r>
          </w:p>
        </w:tc>
        <w:tc>
          <w:tcPr>
            <w:tcW w:type="dxa" w:w="338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현재 처리</w:t>
            </w:r>
          </w:p>
        </w:tc>
        <w:tc>
          <w:tcPr>
            <w:tcW w:type="dxa" w:w="417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후속 개선</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결제 금액</w:t>
            </w:r>
          </w:p>
        </w:tc>
        <w:tc>
          <w:tcPr>
            <w:tcW w:type="dxa" w:w="338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템플릿의 고정 금액 사용 가능</w:t>
            </w:r>
          </w:p>
        </w:tc>
        <w:tc>
          <w:tcPr>
            <w:tcW w:type="dxa" w:w="417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단가와 수량을 결제 요청에 반영</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재발주</w:t>
            </w:r>
          </w:p>
        </w:tc>
        <w:tc>
          <w:tcPr>
            <w:tcW w:type="dxa" w:w="338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동일 사용자·제품 중복 제한</w:t>
            </w:r>
          </w:p>
        </w:tc>
        <w:tc>
          <w:tcPr>
            <w:tcW w:type="dxa" w:w="417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PENDING만 중복 차단하고 완료 후 재발주 허용</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입고 상태</w:t>
            </w:r>
          </w:p>
        </w:tc>
        <w:tc>
          <w:tcPr>
            <w:tcW w:type="dxa" w:w="338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완료까지만 확인</w:t>
            </w:r>
          </w:p>
        </w:tc>
        <w:tc>
          <w:tcPr>
            <w:tcW w:type="dxa" w:w="417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배송·입고 이벤트와 별도 상태 추가</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고급 추천</w:t>
            </w:r>
          </w:p>
        </w:tc>
        <w:tc>
          <w:tcPr>
            <w:tcW w:type="dxa" w:w="338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약효군·누적 발주 기반 규칙 추천</w:t>
            </w:r>
          </w:p>
        </w:tc>
        <w:tc>
          <w:tcPr>
            <w:tcW w:type="dxa" w:w="417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거래처 특성·재고·주기·대체 성분 데이터 추가</w:t>
            </w:r>
          </w:p>
        </w:tc>
      </w:tr>
    </w:tbl>
    <w:p>
      <w:pPr>
        <w:spacing w:after="20"/>
      </w:pPr>
    </w:p>
    <w:p>
      <w:pPr>
        <w:pStyle w:val="Heading2"/>
      </w:pPr>
      <w:r>
        <w:t>8.3 결론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PROJECT OUTCOME</w:t>
            </w:r>
          </w:p>
          <w:p>
            <w:pPr>
              <w:spacing w:after="0" w:line="269" w:lineRule="auto"/>
            </w:pPr>
            <w:r>
              <w:rPr>
                <w:rFonts w:ascii="Malgun Gothic" w:hAnsi="Malgun Gothic" w:eastAsia="Malgun Gothic"/>
                <w:b w:val="0"/>
                <w:i w:val="0"/>
                <w:color w:val="24323D"/>
                <w:sz w:val="20"/>
              </w:rPr>
              <w:t>메디브릿지는 이해관계자의 요구를 핵심 발주 흐름과 확장 기능으로 나누어 두 번의 Sprint로 검증한다. 업무와 데이터 책임에 따라 서비스를 분리하고, REST와 Kafka를 통해 독립된 서비스가 하나의 거래 흐름을 완성하도록 설계했다.</w:t>
            </w:r>
          </w:p>
        </w:tc>
      </w:tr>
    </w:tbl>
    <w:p>
      <w:pPr>
        <w:spacing w:after="20"/>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57784"/>
        <w:sz w:val="17"/>
      </w:rPr>
      <w:t>판교 4반 2조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i w:val="0"/>
        <w:color w:val="657784"/>
        <w:sz w:val="17"/>
      </w:rPr>
      <w:t>MEDIBRIDGE  |  Agile &amp; MSA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Malgun Gothic"/>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algun Gothic" w:hAnsi="Malgun Gothic" w:eastAsia="Malgun Goth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178C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Malgun Gothic" w:hAnsi="Malgun Gothic" w:eastAsia="Malgun Gothic"/>
      <w:b w:val="0"/>
      <w:i/>
      <w:iCs/>
      <w:color w:val="6577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메디브릿지 MSA 프로젝트 기획안</dc:title>
  <dc:subject>Agile &amp; MSA 조별 실습 기획안</dc:subject>
  <dc:creator>판교 4반 2조</dc:creator>
  <cp:keywords/>
  <dc:description>generated by python-docx</dc:description>
  <cp:lastModifiedBy/>
  <cp:revision>1</cp:revision>
  <dcterms:created xsi:type="dcterms:W3CDTF">2013-12-23T23:15:00Z</dcterms:created>
  <dcterms:modified xsi:type="dcterms:W3CDTF">2013-12-23T23:15:00Z</dcterms:modified>
  <cp:category/>
</cp:coreProperties>
</file>