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Bundesstelle für Servicekoordination</w:t>
      </w:r>
    </w:p>
    <w:p>
      <w:pPr>
        <w:pStyle w:val="Title"/>
      </w:pPr>
      <w:r>
        <w:t>Entwurf einer Dienstleistungsvereinbarung für Archivsupport</w:t>
      </w:r>
    </w:p>
    <w:p>
      <w:r>
        <w:t>Rechtsdienst / Vertragsentwurf 0.7 | 15. Oktober 2026 | Synthetischer Testfall</w:t>
      </w:r>
    </w:p>
    <w:p>
      <w:pPr>
        <w:pStyle w:val="Heading2"/>
      </w:pPr>
      <w:r>
        <w:t>Parteien und Gegenstand</w:t>
      </w:r>
    </w:p>
    <w:p>
      <w:r>
        <w:t>Zwischen der fiktiven Bundesstelle für Servicekoordination und der Alpinum Services AG wird die Unterstützung eines digitalen Archivsystems vereinbart. Ansprechpersonen sind Lara Baum, Leiterin Fachapplikationen, sowie Jonas Meier, Kundenverantwortlicher der Anbieterin. Der Entwurf regelt Wartungsfenster, Unterstützung bei Benutzeranfragen und die Dokumentation der erbrachten Arbeiten. Er ist noch nicht unterzeichnet und begründet keine bereits bestehende Leistungspflicht.</w:t>
      </w:r>
    </w:p>
    <w:p>
      <w:pPr>
        <w:pStyle w:val="Heading2"/>
      </w:pPr>
      <w:r>
        <w:t>Leistungsumfang</w:t>
      </w:r>
    </w:p>
    <w:p>
      <w:r>
        <w:t>Die Anbieterin bearbeitet Supportanfragen auf Grundlage von Ticketnummer, betroffener Anwendung und Fehlerbeschreibung. Echte Inhaltsdaten aus archivierten Dossiers dürfen nicht in die Ticketplattform kopiert werden; für die Fehlerreproduktion sind synthetische Beispiele zu verwenden. Die Bundesstelle bleibt für die Entscheidung zuständig, wann ein Zugriff auf produktive Daten ausnahmsweise erforderlich ist. Diese Entscheidung wird in einem gesonderten Verfahren dokumentiert.</w:t>
      </w:r>
    </w:p>
    <w:p>
      <w:pPr>
        <w:pStyle w:val="Heading2"/>
      </w:pPr>
      <w:r>
        <w:t>Zugriffsregelung</w:t>
      </w:r>
    </w:p>
    <w:p>
      <w:r>
        <w:t>Für die Dauer einer Störung können namentlich bezeichnete Supportpersonen zeitlich befristete Berechtigungen erhalten. Die konkrete Liste der Personen und die technischen Konten sind nicht Teil dieses Vertragsentwurfs. Die Parteien vereinbaren ein Vier-Augen-Prinzip für Freigaben und eine nachvollziehbare Protokollierung. Eine pauschale, dauerhafte Administrationsberechtigung ist nicht vorgesehen.</w:t>
      </w:r>
    </w:p>
    <w:p>
      <w:pPr>
        <w:pStyle w:val="Heading2"/>
      </w:pPr>
      <w:r>
        <w:t>Vertraulichkeit</w:t>
      </w:r>
    </w:p>
    <w:p>
      <w:r>
        <w:t>Die Parteien behandeln nicht öffentliche Informationen, von denen sie bei der Leistungserbringung Kenntnis erhalten, vertraulich. Dieser vertragliche Begriff legt für sich allein keine Klassifizierungsstufe nach ISG oder ISV fest. Die Einstufung einzelner Unterlagen richtet sich weiterhin nach der anwendbaren gesetzlichen Regelung und allfälligen Klassifizierungskatalogen. Der Entwurf soll vor dem Versand an externe Parteien vom Rechtsdienst und von der Informationssicherheit geprüft werden.</w:t>
      </w:r>
    </w:p>
    <w:p>
      <w:pPr>
        <w:pStyle w:val="Heading2"/>
      </w:pPr>
      <w:r>
        <w:t>Personendaten</w:t>
      </w:r>
    </w:p>
    <w:p>
      <w:r>
        <w:t>Im vorliegenden Vertrag werden geschäftliche Kontaktdaten zweier natürlicher Personen genannt. Es sind weder Angaben zur Gesundheit noch Informationen über Strafverfahren oder religiöse Überzeugungen enthalten. Allfällige Personendaten in späteren Supporttickets gehören nicht zum Datenbestand dieses Vertragsentwurfs und müssen unabhängig beurteilt werden.</w:t>
      </w:r>
    </w:p>
    <w:p>
      <w:pPr>
        <w:pStyle w:val="Heading2"/>
      </w:pPr>
      <w:r>
        <w:t>Offene Punkte</w:t>
      </w:r>
    </w:p>
    <w:p>
      <w:r>
        <w:t>Die Laufzeit soll zunächst zwei Jahre betragen. Offen sind die Einzelheiten zur Unterbeauftragung, die Weisungsrechte bei technischen Änderungen und die Aufbewahrung von Supportprotokollen. Bis zur Klärung bleibt die Fassung ein Arbeitsentwurf; ihre Weitergabe an Dritte bedarf der Zustimmung der verantwortlichen Stelle.</w:t>
      </w:r>
    </w:p>
    <w:sectPr w:rsidR="00FC693F" w:rsidRPr="0006063C" w:rsidSect="00034616">
      <w:footerReference w:type="default" r:id="rId9"/>
      <w:pgSz w:w="12240" w:h="15840"/>
      <w:pgMar w:top="1276" w:right="141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Synthetischer Testfall – keine echten Personen oder Organisationsdaten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Koby Ground Truth – synthetische Daten</dc:creator>
  <cp:keywords/>
  <dc:description>generated by python-docx</dc:description>
  <cp:lastModifiedBy/>
  <cp:revision>1</cp:revision>
  <dcterms:created xsi:type="dcterms:W3CDTF">2013-12-23T23:15:00Z</dcterms:created>
  <dcterms:modified xsi:type="dcterms:W3CDTF">2013-12-23T23:15:00Z</dcterms:modified>
  <cp:category/>
</cp:coreProperties>
</file>