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Bundesstelle für Serviceaufsicht</w:t>
      </w:r>
    </w:p>
    <w:p>
      <w:pPr>
        <w:pStyle w:val="Title"/>
      </w:pPr>
      <w:r>
        <w:t>Interner Auditbericht: Dokumentationspflichten im Servicemanagement</w:t>
      </w:r>
    </w:p>
    <w:p>
      <w:r>
        <w:t>Interne Revision / Berichtsentwurf | 15. Oktober 2026 | Synthetischer Testfall</w:t>
      </w:r>
    </w:p>
    <w:p>
      <w:pPr>
        <w:pStyle w:val="Heading2"/>
      </w:pPr>
      <w:r>
        <w:t>Prüfgegenstand</w:t>
      </w:r>
    </w:p>
    <w:p>
      <w:r>
        <w:t>Die Interne Revision untersuchte, ob Störungen, Änderungen und technische Freigaben im Servicemanagement ausreichend dokumentiert werden. Der Prüfzeitraum umfasst die Monate Januar bis August 2026. Es wurden 40 Vorgänge aus unterschiedlichen Fachbereichen ausgewählt. Der Bericht bewertet Prozesse und deren Nachweisbarkeit; personenbezogene Leistungsbeurteilungen waren nicht Teil des Auftrags.</w:t>
      </w:r>
    </w:p>
    <w:p>
      <w:pPr>
        <w:pStyle w:val="Heading2"/>
      </w:pPr>
      <w:r>
        <w:t>Methode</w:t>
      </w:r>
    </w:p>
    <w:p>
      <w:r>
        <w:t>Das Prüfteam führte acht Interviews, prüfte Stichproben aus dem Ticketsystem und verglich diese mit den geltenden internen Arbeitshilfen. Die beteiligten Mitarbeitenden wurden über Zweck und Umfang informiert. Interviewaussagen sind zusammenfassend wiedergegeben; individuelle Namen werden nur im Abschnitt zur Organisation der nächsten Schritte genannt.</w:t>
      </w:r>
    </w:p>
    <w:p>
      <w:pPr>
        <w:pStyle w:val="Heading2"/>
      </w:pPr>
      <w:r>
        <w:t>Feststellung A – Dokumentation</w:t>
      </w:r>
    </w:p>
    <w:p>
      <w:r>
        <w:t>In elf von vierzig Vorgängen war die Begründung für die Prioritätsvergabe unvollständig. Daraus lässt sich weder eine konkrete Sicherheitsverletzung noch eine persönliche Pflichtverletzung einer bestimmten Person ableiten. Die Revision empfiehlt zusätzliche Pflichtfelder und eine Stichprobenkontrolle durch den Betrieb.</w:t>
      </w:r>
    </w:p>
    <w:p>
      <w:pPr>
        <w:pStyle w:val="Heading2"/>
      </w:pPr>
      <w:r>
        <w:t>Feststellung B – Prozessabweichung</w:t>
      </w:r>
    </w:p>
    <w:p>
      <w:r>
        <w:t>Bei drei Notfalländerungen wurden Freigaben erst am folgenden Arbeitstag dokumentiert. Die technische Wirksamkeit der Änderungen wurde nicht bestritten. Es besteht jedoch das Risiko, dass im Nachhinein unklar bleibt, wer welche Entscheidung zu welchem Zeitpunkt getroffen hat. Die zuständige Führung hat zugesagt, den Prozess bis Dezember zu präzisieren.</w:t>
      </w:r>
    </w:p>
    <w:p>
      <w:pPr>
        <w:pStyle w:val="Heading2"/>
      </w:pPr>
      <w:r>
        <w:t>Verantwortlichkeiten</w:t>
      </w:r>
    </w:p>
    <w:p>
      <w:r>
        <w:t>Für den Massnahmenplan verantwortlich sind die Prozessverantwortliche Olivia Muster und der Betriebsleiter Daniel Furrer. Die Namen und geschäftlichen Funktionen dienen ausschliesslich der Koordination. Der Bericht enthält keine Angaben über Gesundheit, politische Ansichten oder laufende Strafverfahren dieser Personen.</w:t>
      </w:r>
    </w:p>
    <w:p>
      <w:pPr>
        <w:pStyle w:val="Heading2"/>
      </w:pPr>
      <w:r>
        <w:t>Beurteilung der Weitergabe</w:t>
      </w:r>
    </w:p>
    <w:p>
      <w:r>
        <w:t>Der Bericht ist derzeit für die geprüften Bereiche und die Führung bestimmt. Eine Veröffentlichung ist nicht vorgesehen. Die revisionsinterne Verteilung und die Benennung von Prozessmängeln ersetzen keine Prüfung der gesetzlich relevanten Schäden einer unberechtigten Kenntnisnahme. Ein Katalogabgleich steht noch aus.</w:t>
      </w:r>
    </w:p>
    <w:p>
      <w:pPr>
        <w:pStyle w:val="Heading2"/>
      </w:pPr>
      <w:r>
        <w:t>Massnahmenplan</w:t>
      </w:r>
    </w:p>
    <w:p>
      <w:r>
        <w:t>Bis 15. November wird eine verbindliche Vorlage für Priorisierungsentscheidungen erstellt. Bis 15. Dezember folgt die Überprüfung des Notfallprozesses. Die Revision plant eine Nachkontrolle im Februar 2027. Offene Punkte werden im regulären Verbesserungsverfahren nachgeführt.</w:t>
      </w:r>
    </w:p>
    <w:sectPr w:rsidR="00FC693F" w:rsidRPr="0006063C" w:rsidSect="00034616">
      <w:footerReference w:type="default" r:id="rId9"/>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Synthetischer Testfall – keine echten Personen oder Organisationsdaten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Ground Truth – synthetische Daten</dc:creator>
  <cp:keywords/>
  <dc:description>generated by python-docx</dc:description>
  <cp:lastModifiedBy/>
  <cp:revision>1</cp:revision>
  <dcterms:created xsi:type="dcterms:W3CDTF">2013-12-23T23:15:00Z</dcterms:created>
  <dcterms:modified xsi:type="dcterms:W3CDTF">2013-12-23T23:15:00Z</dcterms:modified>
  <cp:category/>
</cp:coreProperties>
</file>