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Betriebskoordination</w:t>
      </w:r>
    </w:p>
    <w:p>
      <w:pPr>
        <w:pStyle w:val="Title"/>
      </w:pPr>
      <w:r>
        <w:t>Abstimmung der Monatsabschluss-Schnittstelle</w:t>
      </w:r>
    </w:p>
    <w:p>
      <w:r>
        <w:t>Aktenstand: 15. Oktober 2026 · Bearbeitungsfassung</w:t>
      </w:r>
    </w:p>
    <w:p>
      <w:pPr>
        <w:pStyle w:val="Heading2"/>
      </w:pPr>
      <w:r>
        <w:t>Ausgangslage</w:t>
      </w:r>
    </w:p>
    <w:p>
      <w:r>
        <w:t>Das Bundesamt für Verwaltungsleistungen führt die Zahlungsfreigaben aus drei Fachbereichen in einer gemeinsamen Monatsabschlussliste zusammen. Der Datenabgleich erfolgt jeweils am zweiten Arbeitstag nach Monatsende; erst danach dürfen die Fachbereiche neue Auszahlungen über die zentrale Schnittstelle anmelden. Die in dieser Notiz beschriebenen Reihenfolgen sind bisher nur den beteiligten Sachbearbeitenden bekannt.</w:t>
      </w:r>
    </w:p>
    <w:p>
      <w:pPr>
        <w:pStyle w:val="Heading2"/>
      </w:pPr>
      <w:r>
        <w:t>Feststellungen zum laufenden Verfahren</w:t>
      </w:r>
    </w:p>
    <w:p>
      <w:r>
        <w:t>Für den kommenden Abschluss wird die Eingangskontrolle um 08.20 Uhr gestartet. Erst nach dem Abgleich der Eingangszahlen mit dem Journal der Vorperiode gibt die Koordinationsstelle die Liste an die Freigabestelle weiter. Der Abgleich hat eine empfindliche Stelle: Bei zwei gleichzeitig eingehenden Korrekturläufen wird zunächst nur der früher protokollierte Lauf angezeigt. Die Mitarbeitenden müssen deshalb vor der Freigabe einen zweiten Abgleich auf der gesonderten Ansicht vornehmen.</w:t>
      </w:r>
    </w:p>
    <w:p>
      <w:pPr>
        <w:pStyle w:val="Heading2"/>
      </w:pPr>
      <w:r>
        <w:t>Mögliche Auswirkungen bei vorzeitiger Bekanntgabe</w:t>
      </w:r>
    </w:p>
    <w:p>
      <w:r>
        <w:t>Eine gezielte Störung oder irreführende Rückfrage während dieses kurzen Abgleichfensters würde die Freigabe der regulären Zahlungen verzögern. Betroffen wären übliche Monatsprozesse einer Verwaltungseinheit, nicht die Handlungsfähigkeit mehrerer Ämter oder eine dauerhafte Zahlungsunterbrechung. Gerade weil die Kontrollen bis zum Folgetag nachgeholt werden können, wird mit einer auf den Tagesbetrieb begrenzten Erschwerung gerechnet.</w:t>
      </w:r>
    </w:p>
    <w:p>
      <w:pPr>
        <w:pStyle w:val="Heading2"/>
      </w:pPr>
      <w:r>
        <w:t>Abhängigkeiten und Kontrollen</w:t>
      </w:r>
    </w:p>
    <w:p>
      <w:r>
        <w:t>Die Belastung würde sich hauptsächlich in zusätzlichen Abstimmungen, Nachfragen und zeitlich verschobenen Bearbeitungsschritten zeigen. Andere Behörden sind nicht auf die sofortige Durchführung dieses einzelnen Ablaufs angewiesen. Ein festgelegtes Tagesjournal erlaubt eine nachträgliche Rekonstruktion; bei Abweichungen können bereits vorhandene Kontrolllisten herangezogen werden. Entscheidend ist, dass die beschriebenen Einzelheiten vor Abschluss der Umstellung eine gezielte Beeinflussung ermöglichen, die aus einer allgemeinen Beschreibung des Verwaltungsprozesses nicht erkennbar wäre. Eine vollständige Unterbrechung über mehrere Tage ist wegen der verfügbaren Ausweichprozesse weder vorgesehen noch plausibel.</w:t>
      </w:r>
    </w:p>
    <w:p>
      <w:pPr>
        <w:pStyle w:val="Heading2"/>
      </w:pPr>
      <w:r>
        <w:t>Weiteres Vorgehen</w:t>
      </w:r>
    </w:p>
    <w:p>
      <w:r>
        <w:t>Die Ablaufbeschreibung wird nach dem nächsten Abschluss mit den tatsächlichen Bearbeitungszeiten abgeglichen. Die Koordinationsstelle prüft, ob der doppelte Abgleich technisch erzwungen werden kann; bis dahin bleibt die zeitliche Reihenfolge für den laufenden Prozess relevant.</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