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Bundesverwaltung – Fachbereich Betriebskoordination</w:t>
      </w:r>
    </w:p>
    <w:p>
      <w:pPr>
        <w:pStyle w:val="Title"/>
      </w:pPr>
      <w:r>
        <w:t>Korrekturfenster der zentralen Terminliste</w:t>
      </w:r>
    </w:p>
    <w:p>
      <w:r>
        <w:t>Aktenstand: 15. Oktober 2026 · Bearbeitungsfassung</w:t>
      </w:r>
    </w:p>
    <w:p>
      <w:pPr>
        <w:pStyle w:val="Heading2"/>
      </w:pPr>
      <w:r>
        <w:t>Ausgangslage</w:t>
      </w:r>
    </w:p>
    <w:p>
      <w:r>
        <w:t>Eine Fachstelle der Bundesverwaltung führt Anhörungen mehrerer Sachgebiete über eine gemeinsame Terminliste. Im laufenden Quartal wird ein neues Zuteilungsverfahren eingeführt, das bisherige Terminreservierungen mit den elektronischen Einladungen abgleicht.</w:t>
      </w:r>
    </w:p>
    <w:p>
      <w:pPr>
        <w:pStyle w:val="Heading2"/>
      </w:pPr>
      <w:r>
        <w:t>Feststellungen zum laufenden Verfahren</w:t>
      </w:r>
    </w:p>
    <w:p>
      <w:r>
        <w:t>Bei der Übernahme bestehender Termine werden Verschiebungen zunächst in einer internen Prüfansicht gesammelt. Erst nach der täglichen Freigabe werden korrigierte Einladungen versandt. Falls gleichzeitig ein neues Gesuch eintrifft, muss es vor der Übernahme eindeutig einem Sachgebiet zugeordnet werden. Die vorläufige Prüfansicht ist jeweils während eines kurzen Zeitfensters nicht gegen Doppelzuordnungen abgesichert.</w:t>
      </w:r>
    </w:p>
    <w:p>
      <w:pPr>
        <w:pStyle w:val="Heading2"/>
      </w:pPr>
      <w:r>
        <w:t>Mögliche Auswirkungen bei vorzeitiger Bekanntgabe</w:t>
      </w:r>
    </w:p>
    <w:p>
      <w:r>
        <w:t>Gezielte Mehrfachanfragen im Umstellungsfenster könnten zu falschen Reservierungen und zusätzlichen manuellen Abgleichen führen. Es handelt sich um eine konkrete Erschwerung eines wichtigen Verwaltungsprozesses mit voraussichtlich kurzfristiger Wirkung. Der normale Terminbetrieb lässt sich nach Abschluss der Tageskontrolle wieder aufnehmen.</w:t>
      </w:r>
    </w:p>
    <w:p>
      <w:pPr>
        <w:pStyle w:val="Heading2"/>
      </w:pPr>
      <w:r>
        <w:t>Abhängigkeiten und Kontrollen</w:t>
      </w:r>
    </w:p>
    <w:p>
      <w:r>
        <w:t>Die Belastung würde sich hauptsächlich in zusätzlichen Abstimmungen, Nachfragen und zeitlich verschobenen Bearbeitungsschritten zeigen. Andere Behörden sind nicht auf die sofortige Durchführung dieses einzelnen Ablaufs angewiesen. Ein festgelegtes Tagesjournal erlaubt eine nachträgliche Rekonstruktion; bei Abweichungen können bereits vorhandene Kontrolllisten herangezogen werden. Entscheidend ist, dass die beschriebenen Einzelheiten vor Abschluss der Umstellung eine gezielte Beeinflussung ermöglichen, die aus einer allgemeinen Beschreibung des Verwaltungsprozesses nicht erkennbar wäre. Eine vollständige Unterbrechung über mehrere Tage ist wegen der verfügbaren Ausweichprozesse weder vorgesehen noch plausibel.</w:t>
      </w:r>
    </w:p>
    <w:p>
      <w:pPr>
        <w:pStyle w:val="Heading2"/>
      </w:pPr>
      <w:r>
        <w:t>Weiteres Vorgehen</w:t>
      </w:r>
    </w:p>
    <w:p>
      <w:r>
        <w:t>Der Bericht empfiehlt eine eindeutige Sperre gegen Doppelreservierungen und eine Kontrolle aller offenen Verschiebungen vor Abschluss des Tages. Das Team überprüft die Wirkung nach dem nächsten monatlichen Terminlauf.</w:t>
      </w:r>
    </w:p>
    <w:sectPr w:rsidR="00FC693F" w:rsidRPr="0006063C"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