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Bundesverwaltung – Fachbereich Sicherheitsdienst</w:t>
      </w:r>
    </w:p>
    <w:p>
      <w:pPr>
        <w:pStyle w:val="Title"/>
      </w:pPr>
      <w:r>
        <w:t>Abstimmungsnotiz zu begrenzten Sicherheitskontrollen</w:t>
      </w:r>
    </w:p>
    <w:p>
      <w:r>
        <w:t>Aktenstand: 15. Oktober 2026 · Bearbeitungsfassung</w:t>
      </w:r>
    </w:p>
    <w:p>
      <w:pPr>
        <w:pStyle w:val="Heading2"/>
      </w:pPr>
      <w:r>
        <w:t>Ausgangslage</w:t>
      </w:r>
    </w:p>
    <w:p>
      <w:r>
        <w:t>Die Fachleitung eines fiktiven Bundessicherheitsorgans vergleicht die Wirksamkeit zweier Kontrollroutinen für eine öffentliche Veranstaltung in einem Verwaltungsgebäude. Es geht um den Ablauf von Routinediensten, nicht um besondere verdeckte Methoden.</w:t>
      </w:r>
    </w:p>
    <w:p>
      <w:pPr>
        <w:pStyle w:val="Heading2"/>
      </w:pPr>
      <w:r>
        <w:t>Feststellungen zum laufenden Verfahren</w:t>
      </w:r>
    </w:p>
    <w:p>
      <w:r>
        <w:t>Für den Probetag wurden die Kontrollen in drei zeitlich aufeinanderfolgende Abschnitte geteilt. Der mittlere Abschnitt ist anfällig für Verzögerungen, weil die Übergabe zwischen Empfang und mobiler Kontrolle noch nicht vollständig vereinheitlicht wurde. Das Protokoll hält die Reihenfolge und den Kontaktweg für Abweichungsmeldungen fest.</w:t>
      </w:r>
    </w:p>
    <w:p>
      <w:pPr>
        <w:pStyle w:val="Heading2"/>
      </w:pPr>
      <w:r>
        <w:t>Mögliche Auswirkungen bei vorzeitiger Bekanntgabe</w:t>
      </w:r>
    </w:p>
    <w:p>
      <w:r>
        <w:t>Die Kenntnis der genauen Übergabe könnte unerwünschte Personen befähigen, die Routinedienste durch gezielte Ablenkungen zu erschweren. Betroffen wäre ein begrenzter Sicherheitsauftrag, dessen Erfüllung bei Bedarf mit zusätzlichem Personal gesichert werden kann. Die Notiz enthält keine Angaben, die auf eine erhebliche Gefährdung einer Operation schliessen lassen.</w:t>
      </w:r>
    </w:p>
    <w:p>
      <w:pPr>
        <w:pStyle w:val="Heading2"/>
      </w:pPr>
      <w:r>
        <w:t>Abhängigkeiten und Kontrollen</w:t>
      </w:r>
    </w:p>
    <w:p>
      <w:r>
        <w:t>Im Regelfall werden die einzelnen Routinen von mehreren Mitarbeitenden begleitet und durch gemeinsame Tagesmeldungen kontrolliert. Eine Abweichung kann dazu führen, dass einzelne Kontrollen wiederholt werden müssen oder sich der Beginn einer Kontrolle verschiebt. Für die betroffenen Teams besteht aber ein übliches Ersatzverfahren; weiterreichende Mittel und besondere Methoden sind nicht Gegenstand dieses Arbeitsdokuments. Schutzrelevant sind hier ausschliesslich die konkrete zeitliche Reihenfolge und die noch nicht öffentlich bekannten Koordinationswege. Allgemeine Aussagen über die Aufgaben der Sicherheitsorgane reichen für dieselbe Beurteilung ausdrücklich nicht aus.</w:t>
      </w:r>
    </w:p>
    <w:p>
      <w:pPr>
        <w:pStyle w:val="Heading2"/>
      </w:pPr>
      <w:r>
        <w:t>Weiteres Vorgehen</w:t>
      </w:r>
    </w:p>
    <w:p>
      <w:r>
        <w:t>Die Fachleitung wird die Übergabe nach der Veranstaltung standardisieren und eine einheitliche Checkliste einsetzen. Die Erfahrungen aus dem Probetag werden nur für die Anpassung der Routine genutzt.</w:t>
      </w:r>
    </w:p>
    <w:sectPr w:rsidR="00FC693F" w:rsidRPr="0006063C" w:rsidSect="00034616">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