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Fiktive Bundesverwaltung – Fachbereich Internationale Fachbeziehungen</w:t>
      </w:r>
    </w:p>
    <w:p>
      <w:pPr>
        <w:pStyle w:val="Title"/>
      </w:pPr>
      <w:r>
        <w:t>Gesprächsfenster einer bilateralen Fachkonsultation</w:t>
      </w:r>
    </w:p>
    <w:p>
      <w:r>
        <w:t>Aktenstand: 15. Oktober 2026 · Bearbeitungsfassung</w:t>
      </w:r>
    </w:p>
    <w:p>
      <w:pPr>
        <w:pStyle w:val="Heading2"/>
      </w:pPr>
      <w:r>
        <w:t>Ausgangslage</w:t>
      </w:r>
    </w:p>
    <w:p>
      <w:r>
        <w:t>Eine Fachsektion bereitet eine technische Konsultation mit einer ausländischen Partnerbehörde vor. Das Ziel besteht darin, unterschiedliche Meldeformulare aufeinander abzustimmen. Die Abstimmung ist freiwillig und hat keine staatsvertraglichen Konsequenzen.</w:t>
      </w:r>
    </w:p>
    <w:p>
      <w:pPr>
        <w:pStyle w:val="Heading2"/>
      </w:pPr>
      <w:r>
        <w:t>Feststellungen zum laufenden Verfahren</w:t>
      </w:r>
    </w:p>
    <w:p>
      <w:r>
        <w:t>Der derzeitige Vorschlag sieht vor, den strittigen Punkt zur Datenfeld-Bezeichnung zuerst im kleinen Fachkreis zu erörtern und erst danach im gemeinsamen Plenum aufzunehmen. In der internen Vorbereitung sind zwei Formulierungsvarianten sowie der Zeitpunkt des geplanten Entgegenkommens festgehalten. Die Partnerseite kennt diesen Ablauf noch nicht.</w:t>
      </w:r>
    </w:p>
    <w:p>
      <w:pPr>
        <w:pStyle w:val="Heading2"/>
      </w:pPr>
      <w:r>
        <w:t>Mögliche Auswirkungen bei vorzeitiger Bekanntgabe</w:t>
      </w:r>
    </w:p>
    <w:p>
      <w:r>
        <w:t>Würde die interne Gesprächsreihenfolge vorzeitig bekannt, könnte die Partnerseite die zeitliche Konzession einfordern, ohne im Gegenzug die erwünschte Anpassung vorzunehmen. Die Schweiz wäre bei dieser fachtechnischen Abstimmung gegenüber der Partnerbehörde benachteiligt. Es geht jedoch nicht um einen Bruch diplomatischer Beziehungen oder einen erheblichen wirtschaftlichen Schaden.</w:t>
      </w:r>
    </w:p>
    <w:p>
      <w:pPr>
        <w:pStyle w:val="Heading2"/>
      </w:pPr>
      <w:r>
        <w:t>Abhängigkeiten und Kontrollen</w:t>
      </w:r>
    </w:p>
    <w:p>
      <w:r>
        <w:t>Die internen Varianten stellen keine offizielle Stellungnahme und auch keine bereits zugesagte Position der Schweiz dar. Die Partner können den Stand erst nach der nächsten fachlichen Aussprache zuverlässig einschätzen. Kenntnis der Varianten würde ihnen jedoch einen konkreten, wenn auch begrenzten taktischen Vorteil verschaffen: Sie könnten eigene Forderungen in dem Moment anbringen, in dem die schweizerische Fachseite einen Kompromiss vorbereitet. Die Arbeitsgruppe rechnet nicht damit, dass dadurch internationale Beziehungen ernsthaft beschädigt würden. Der mögliche Nachteil besteht vielmehr in einem schlechteren Ergebnis dieses eng abgegrenzten Geschäfts.</w:t>
      </w:r>
    </w:p>
    <w:p>
      <w:pPr>
        <w:pStyle w:val="Heading2"/>
      </w:pPr>
      <w:r>
        <w:t>Weiteres Vorgehen</w:t>
      </w:r>
    </w:p>
    <w:p>
      <w:r>
        <w:t>Die Fachsektion will die Position nach der Konsultation protokollieren und jene Punkte veröffentlichen, auf die sich beide Seiten tatsächlich verständigt haben.</w:t>
      </w:r>
    </w:p>
    <w:sectPr w:rsidR="00FC693F" w:rsidRPr="0006063C" w:rsidSect="00034616">
      <w:pgSz w:w="12240" w:h="15840"/>
      <w:pgMar w:top="964"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