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Internationale Fachbeziehungen</w:t>
      </w:r>
    </w:p>
    <w:p>
      <w:pPr>
        <w:pStyle w:val="Title"/>
      </w:pPr>
      <w:r>
        <w:t>Verhandlungsspielraum bei einem gemeinsamen Pilotvorhaben</w:t>
      </w:r>
    </w:p>
    <w:p>
      <w:r>
        <w:t>Aktenstand: 15. Oktober 2026 · Bearbeitungsfassung</w:t>
      </w:r>
    </w:p>
    <w:p>
      <w:pPr>
        <w:pStyle w:val="Heading2"/>
      </w:pPr>
      <w:r>
        <w:t>Ausgangslage</w:t>
      </w:r>
    </w:p>
    <w:p>
      <w:r>
        <w:t>Die Fachleitung bereitet eine kurze Entscheidungsnotiz für ein freiwilliges, grenzüberschreitendes Pilotvorhaben vor. Zwei ausländische Behörden haben Interesse an der Teilnahme signalisiert, die Kostenteilung ist jedoch noch offen.</w:t>
      </w:r>
    </w:p>
    <w:p>
      <w:pPr>
        <w:pStyle w:val="Heading2"/>
      </w:pPr>
      <w:r>
        <w:t>Feststellungen zum laufenden Verfahren</w:t>
      </w:r>
    </w:p>
    <w:p>
      <w:r>
        <w:t>Die interne Variante bevorzugt eine zeitlich befristete Beteiligung der Schweiz, falls die übrigen Partner die gemeinsamen Betriebskosten übernehmen. Als Rückfallposition wäre eine begrenzte Eigenbeteiligung möglich. Diese Obergrenze wurde bewusst noch nicht in den Entwurf für die Partner aufgenommen, weil zuerst die Bereitschaft zur gemeinsamen Finanzierung sondiert werden soll.</w:t>
      </w:r>
    </w:p>
    <w:p>
      <w:pPr>
        <w:pStyle w:val="Heading2"/>
      </w:pPr>
      <w:r>
        <w:t>Mögliche Auswirkungen bei vorzeitiger Bekanntgabe</w:t>
      </w:r>
    </w:p>
    <w:p>
      <w:r>
        <w:t>Bei vorzeitiger Kenntnis der schweizerischen Rückfallposition könnten die anderen Partner ihre Vorschläge an der internen Obergrenze orientieren. Daraus ergäbe sich ein begrenzter wirtschaftlicher Nachteil für die Schweiz. Die Notiz enthält keine Informationen über kritische Infrastrukturen oder Vorgänge mit erheblichen aussenpolitischen Folgen.</w:t>
      </w:r>
    </w:p>
    <w:p>
      <w:pPr>
        <w:pStyle w:val="Heading2"/>
      </w:pPr>
      <w:r>
        <w:t>Abhängigkeiten und Kontrollen</w:t>
      </w:r>
    </w:p>
    <w:p>
      <w:r>
        <w:t>Die internen Varianten stellen keine offizielle Stellungnahme und auch keine bereits zugesagte Position der Schweiz dar. Die Partner können den Stand erst nach der nächsten fachlichen Aussprache zuverlässig einschätzen. Kenntnis der Varianten würde ihnen jedoch einen konkreten, wenn auch begrenzten taktischen Vorteil verschaffen: Sie könnten eigene Forderungen in dem Moment anbringen, in dem die schweizerische Fachseite einen Kompromiss vorbereitet. Die Arbeitsgruppe rechnet nicht damit, dass dadurch internationale Beziehungen ernsthaft beschädigt würden. Der mögliche Nachteil besteht vielmehr in einem schlechteren Ergebnis dieses eng abgegrenzten Geschäfts.</w:t>
      </w:r>
    </w:p>
    <w:p>
      <w:pPr>
        <w:pStyle w:val="Heading2"/>
      </w:pPr>
      <w:r>
        <w:t>Weiteres Vorgehen</w:t>
      </w:r>
    </w:p>
    <w:p>
      <w:r>
        <w:t>Nach der Verhandlungsrunde soll die Fachleitung eine aktualisierte Kostenübersicht erstellen. Die in der Notiz erläuterten Varianten bleiben bis dahin Grundlage für die Gesprächsvorbereitung.</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