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Bund-Kantone-Koordination</w:t>
      </w:r>
    </w:p>
    <w:p>
      <w:pPr>
        <w:pStyle w:val="Title"/>
      </w:pPr>
      <w:r>
        <w:t>Abstimmung einer kantonalen Datenlieferung</w:t>
      </w:r>
    </w:p>
    <w:p>
      <w:r>
        <w:t>Aktenstand: 15. Oktober 2026 · Bearbeitungsfassung</w:t>
      </w:r>
    </w:p>
    <w:p>
      <w:pPr>
        <w:pStyle w:val="Heading2"/>
      </w:pPr>
      <w:r>
        <w:t>Ausgangslage</w:t>
      </w:r>
    </w:p>
    <w:p>
      <w:r>
        <w:t>Eine Bundesfachstelle koordiniert mit drei Kantonen die Einführung einer gemeinsamen Statistikmeldung. Das Sitzungsprotokoll hält fest, welche Umsetzungsfristen die Beteiligten intern für realistisch halten. Die offiziellen Rückmeldungen sind noch nicht eingeholt.</w:t>
      </w:r>
    </w:p>
    <w:p>
      <w:pPr>
        <w:pStyle w:val="Heading2"/>
      </w:pPr>
      <w:r>
        <w:t>Feststellungen zum laufenden Verfahren</w:t>
      </w:r>
    </w:p>
    <w:p>
      <w:r>
        <w:t>Ein Kanton benötigt zusätzliche technische Tests und könnte erst einen Monat später liefern. Die Bundesfachstelle schlägt daher intern eine gestaffelte Einführung vor, will die spätere Frist aber erst nach Klärung einer Gegenleistung in der Testunterstützung anbieten. Die Notiz nennt auch die noch nicht abgestimmten Verantwortlichkeiten für die Fehlerbereinigung.</w:t>
      </w:r>
    </w:p>
    <w:p>
      <w:pPr>
        <w:pStyle w:val="Heading2"/>
      </w:pPr>
      <w:r>
        <w:t>Mögliche Auswirkungen bei vorzeitiger Bekanntgabe</w:t>
      </w:r>
    </w:p>
    <w:p>
      <w:r>
        <w:t>Würden einzelne vorläufige Zugeständnisse und Vorbehalte als feststehende Entscheide bekannt, könnten sich die betroffenen Kantone übergangen fühlen und die gemeinsame Planung vorübergehend aussetzen. Dies würde die Beziehungen zwischen Bund und Kantonen in dem Projekt belasten. Von einer längerfristigen politischen Krise oder erheblichen Störung der gesamten föderalen Zusammenarbeit ist nicht auszugehen.</w:t>
      </w:r>
    </w:p>
    <w:p>
      <w:pPr>
        <w:pStyle w:val="Heading2"/>
      </w:pPr>
      <w:r>
        <w:t>Abhängigkeiten und Kontrollen</w:t>
      </w:r>
    </w:p>
    <w:p>
      <w:r>
        <w:t>Die in der Unterlage aufgeführten Varianten werden zunächst innerhalb der beteiligten Stellen geprüft und danach im gemeinsamen Gremium besprochen. Es handelt sich nicht um bereits genehmigte Entscheide. Gerade diese Vorläufigkeit ist für die Beziehungen zwischen den Behörden bedeutsam: Einzelne Fragmente ohne Kontext könnten als Zusagen oder einseitige Sonderrechte missverstanden werden. Für die Korrektur solcher Missverständnisse wären zusätzliche Sitzungen und Abstimmungen notwendig. Die Zusammenarbeit würde dadurch konkret gestört, bliebe aber grundsätzlich funktionsfähig und könnte mit einer gemeinsamen Mitteilung wieder stabilisiert werden.</w:t>
      </w:r>
    </w:p>
    <w:p>
      <w:pPr>
        <w:pStyle w:val="Heading2"/>
      </w:pPr>
      <w:r>
        <w:t>Weiteres Vorgehen</w:t>
      </w:r>
    </w:p>
    <w:p>
      <w:r>
        <w:t>Die Beteiligten wollen die Varianten am nächsten Koordinationstermin gemeinsam besprechen und erst danach einen abgestimmten Zeitplan herausgeben.</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