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Bund-Kantone-Koordination</w:t>
      </w:r>
    </w:p>
    <w:p>
      <w:pPr>
        <w:pStyle w:val="Title"/>
      </w:pPr>
      <w:r>
        <w:t>Unbereinigter Entwurf für eine kantonale Pilotvereinbarung</w:t>
      </w:r>
    </w:p>
    <w:p>
      <w:r>
        <w:t>Aktenstand: 15. Oktober 2026 · Bearbeitungsfassung</w:t>
      </w:r>
    </w:p>
    <w:p>
      <w:pPr>
        <w:pStyle w:val="Heading2"/>
      </w:pPr>
      <w:r>
        <w:t>Ausgangslage</w:t>
      </w:r>
    </w:p>
    <w:p>
      <w:r>
        <w:t>Eine Bundesstelle und drei Kantone haben einen ersten Entwurf für die Durchführung eines gemeinsamen Pilotprojekts ausgetauscht. Der vorliegende Arbeitsstand enthält noch keine verbindlichen Zusagen und dokumentiert interne Vorschläge der Bundesstelle.</w:t>
      </w:r>
    </w:p>
    <w:p>
      <w:pPr>
        <w:pStyle w:val="Heading2"/>
      </w:pPr>
      <w:r>
        <w:t>Feststellungen zum laufenden Verfahren</w:t>
      </w:r>
    </w:p>
    <w:p>
      <w:r>
        <w:t>Bei den Verantwortlichkeiten für die Supportkosten bestehen zwei Varianten. Die Bundesstelle prüft eine befristete Übernahme zusätzlicher Koordinationsstunden für den ersten Kanton, solange dieser die initiale Datenprüfung übernimmt. Für die übrigen Kantone wurden andere Aufgabenverteilungen erwogen; darüber ist noch nicht verhandelt worden.</w:t>
      </w:r>
    </w:p>
    <w:p>
      <w:pPr>
        <w:pStyle w:val="Heading2"/>
      </w:pPr>
      <w:r>
        <w:t>Mögliche Auswirkungen bei vorzeitiger Bekanntgabe</w:t>
      </w:r>
    </w:p>
    <w:p>
      <w:r>
        <w:t>Würden die unterschiedlichen Arbeitsvarianten vor der gemeinsamen Bereinigung verbreitet, könnten sie als einseitige Begünstigung verstanden werden. Dies könnte die Beziehungen zwischen Bund und Kantonen im Pilotprojekt stören und den Abschluss der Vereinbarung verzögern. Der wahrscheinliche Effekt bleibt auf die Kooperation in diesem Projekt begrenzt.</w:t>
      </w:r>
    </w:p>
    <w:p>
      <w:pPr>
        <w:pStyle w:val="Heading2"/>
      </w:pPr>
      <w:r>
        <w:t>Abhängigkeiten und Kontrollen</w:t>
      </w:r>
    </w:p>
    <w:p>
      <w:r>
        <w:t>Die in der Unterlage aufgeführten Varianten werden zunächst innerhalb der beteiligten Stellen geprüft und danach im gemeinsamen Gremium besprochen. Es handelt sich nicht um bereits genehmigte Entscheide. Gerade diese Vorläufigkeit ist für die Beziehungen zwischen den Behörden bedeutsam: Einzelne Fragmente ohne Kontext könnten als Zusagen oder einseitige Sonderrechte missverstanden werden. Für die Korrektur solcher Missverständnisse wären zusätzliche Sitzungen und Abstimmungen notwendig. Die Zusammenarbeit würde dadurch konkret gestört, bliebe aber grundsätzlich funktionsfähig und könnte mit einer gemeinsamen Mitteilung wieder stabilisiert werden.</w:t>
      </w:r>
    </w:p>
    <w:p>
      <w:pPr>
        <w:pStyle w:val="Heading2"/>
      </w:pPr>
      <w:r>
        <w:t>Weiteres Vorgehen</w:t>
      </w:r>
    </w:p>
    <w:p>
      <w:r>
        <w:t>Die Vertragsparteien wollen zunächst die Leistungen und Gegenleistungen je Variante prüfen. Erst danach wird eine für alle Beteiligten einsehbare konsolidierte Fassung erstellt.</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