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Koordinationsabhängigkeiten einer bundesweiten Zulassungsumstellung</w:t>
      </w:r>
    </w:p>
    <w:p>
      <w:pPr>
        <w:pStyle w:val="Heading2"/>
      </w:pPr>
      <w:r>
        <w:t>Ausgangslage</w:t>
      </w:r>
    </w:p>
    <w:p>
      <w:r>
        <w:t>Drei fiktive Verwaltungseinheiten stellen gleichzeitig die Bearbeitung eines grossen Teils ihrer elektronischen Zulassungen um. Ein einheitlicher Freigabeschritt verbindet Registerpflege, Gebührenprüfung und Zustellung. Das Papier erläutert, warum die Umstellung nur in gemeinsamer Reihenfolge erfolgen kann.</w:t>
      </w:r>
    </w:p>
    <w:p>
      <w:pPr>
        <w:pStyle w:val="Heading2"/>
      </w:pPr>
      <w:r>
        <w:t>Sachverhalt und wesentliche Abhängigkeiten</w:t>
      </w:r>
    </w:p>
    <w:p>
      <w:r>
        <w:t>Die fachliche Freigabe der ersten Einheit ist Voraussetzung für die Verteilung an die beiden anderen Stellen. Die Rückfallverfahren sind zwar dokumentiert, wurden jedoch für den gleichzeitigen Betrieb mit dem neuen Register nicht abschliessend erprobt. Die zuständigen Leitungen müssen deshalb die Rückfallentscheidung gemeinsam fällen; eine isolierte Freigabe würde nicht konsistente Entscheide erzeugen.</w:t>
      </w:r>
    </w:p>
    <w:p>
      <w:pPr>
        <w:pStyle w:val="Heading2"/>
      </w:pPr>
      <w:r>
        <w:t>Folgen einer unberechtigten Kenntnisnahme</w:t>
      </w:r>
    </w:p>
    <w:p>
      <w:r>
        <w:t>Eine vorzeitige Bekanntgabe der noch offenen Abhängigkeiten würde es Dritten ermöglichen, den Übergang mit gezielten widersprüchlichen Eingaben zu überlasten. Nach Einschätzung der Projektleitung wären die Entscheid- und Handlungsabläufe aller drei Einheiten während vier bis sechs Arbeitstagen erheblich erschwert. Der Schaden beträfe nicht nur einzelne Pendenzen, sondern die gemeinsame Durchführung einer gesetzlichen Kernaufgabe.</w:t>
      </w:r>
    </w:p>
    <w:p>
      <w:pPr>
        <w:pStyle w:val="Heading2"/>
      </w:pPr>
      <w:r>
        <w:t>Weiteres Vorgehen</w:t>
      </w:r>
    </w:p>
    <w:p>
      <w:r>
        <w:t>Die vorgesehene Parallelprüfung und eine gemeinsame Freigabesitzung mindern das Risiko. Das Dokument enthält keine Zugangsdaten und keine personenbezogenen Falldaten. Schutzrelevant ist die konkrete, derzeit noch bestehende Abhängigkeit der mehreren Verwaltungseinheiten.</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