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Schweizer Bundesverwaltung · Fachunterlage · 15. Oktober 2026</w:t>
      </w:r>
    </w:p>
    <w:p>
      <w:pPr>
        <w:pStyle w:val="Title"/>
      </w:pPr>
      <w:r>
        <w:t>Auswertung eines geschützten Hinweisgebers in einer Strafuntersuchung</w:t>
      </w:r>
    </w:p>
    <w:p>
      <w:pPr>
        <w:pStyle w:val="Heading2"/>
      </w:pPr>
      <w:r>
        <w:t>Ausgangslage</w:t>
      </w:r>
    </w:p>
    <w:p>
      <w:r>
        <w:t>Im Rahmen eines fiktiven bundesrechtlichen Strafverfahrens wurden mehrere interne Hinweise zu einer organisierten Betrugshandlung ausgewertet. Diese Aktennotiz beschreibt die Herkunft eines bislang nicht öffentlich bekannten Hinweises und den Umgang mit einer gefährdeten Auskunftsperson.</w:t>
      </w:r>
    </w:p>
    <w:p>
      <w:pPr>
        <w:pStyle w:val="Heading2"/>
      </w:pPr>
      <w:r>
        <w:t>Sachverhalt und wesentliche Abhängigkeiten</w:t>
      </w:r>
    </w:p>
    <w:p>
      <w:r>
        <w:t>Die Person ist im Verfahrensdossier unter einem neutralen Kürzel erfasst. Die Notiz führt mehrere biografische und organisatorische Merkmale zusammen, die dem beschränkten Kreis der beschuldigten Personen eine eindeutige Zuordnung erlauben würden. Die Ermittler haben für weitere Befragungen einen geschützten Kommunikationsweg vorgesehen; technische Details werden hier nicht wiedergegeben.</w:t>
      </w:r>
    </w:p>
    <w:p>
      <w:pPr>
        <w:pStyle w:val="Heading2"/>
      </w:pPr>
      <w:r>
        <w:t>Folgen einer unberechtigten Kenntnisnahme</w:t>
      </w:r>
    </w:p>
    <w:p>
      <w:r>
        <w:t>Würden die zusammengeführten Merkmale bekannt, wäre die Identität der exponierten Quelle gegenüber den betroffenen Kreisen offengelegt. Der mögliche Schaden ergibt sich aus dieser konkreten Enttarnung und nicht lediglich daraus, dass im Text Personendaten vorkommen. Die weitere Zusammenarbeit wäre zudem gefährdet.</w:t>
      </w:r>
    </w:p>
    <w:p>
      <w:pPr>
        <w:pStyle w:val="Heading2"/>
      </w:pPr>
      <w:r>
        <w:t>Weiteres Vorgehen</w:t>
      </w:r>
    </w:p>
    <w:p>
      <w:r>
        <w:t>Die Fallführung soll alternative Umschreibungen prüfen, die die Identität der Quelle nicht erschliessen lassen. Bis dahin bleibt das Zusammenführen der Merkmale der entscheidende schutzrelevante Inhalt.</w:t>
      </w:r>
    </w:p>
    <w:sectPr w:rsidR="00FC693F" w:rsidRPr="0006063C" w:rsidSect="00034616">
      <w:pgSz w:w="12240" w:h="15840"/>
      <w:pgMar w:top="935"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