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Fiktive Schweizer Bundesverwaltung · Fachunterlage · 15. Oktober 2026</w:t>
      </w:r>
    </w:p>
    <w:p>
      <w:pPr>
        <w:pStyle w:val="Title"/>
      </w:pPr>
      <w:r>
        <w:t>Schutz einer exponierten Kontaktperson bei behördlicher Ermittlung</w:t>
      </w:r>
    </w:p>
    <w:p>
      <w:pPr>
        <w:pStyle w:val="Heading2"/>
      </w:pPr>
      <w:r>
        <w:t>Ausgangslage</w:t>
      </w:r>
    </w:p>
    <w:p>
      <w:r>
        <w:t>Eine fiktive Strafverfolgungsbehörde dokumentiert den Informationsaustausch mit einer im Ausland lebenden Auskunftsperson. Die Korrespondenz ist Teil einer laufenden Sachverhaltsklärung und beschreibt, weshalb die Quelle trotz eines neutralen Aktenzeichens identifizierbar sein könnte.</w:t>
      </w:r>
    </w:p>
    <w:p>
      <w:pPr>
        <w:pStyle w:val="Heading2"/>
      </w:pPr>
      <w:r>
        <w:t>Sachverhalt und wesentliche Abhängigkeiten</w:t>
      </w:r>
    </w:p>
    <w:p>
      <w:r>
        <w:t>In zwei Nachrichten werden die berufliche Vorgeschichte, ein aussergewöhnlicher Wechsel der Zuständigkeit und die Teilnahme an einem seltenen Verfahren miteinander verknüpft. Für sich genommen sind die Angaben nicht eindeutig; zusammengenommen bezeichnen sie gegenüber den Verfahrensbeteiligten praktisch nur eine Person. Diese Person ist wegen ihrer Mitwirkung besonders exponiert.</w:t>
      </w:r>
    </w:p>
    <w:p>
      <w:pPr>
        <w:pStyle w:val="Heading2"/>
      </w:pPr>
      <w:r>
        <w:t>Folgen einer unberechtigten Kenntnisnahme</w:t>
      </w:r>
    </w:p>
    <w:p>
      <w:r>
        <w:t>Eine Offenlegung würde die Identität einer exponierten Person im Zusammenhang mit Bundesstrafverfolgung preisgeben. Damit wäre der Tatbestand der Offenlegung nach Art. 19 lit. c ISV einschlägig. Das Dokument enthält bewusst keine detaillierten operativen Methoden oder Anleitungen zur Kontaktaufnahme.</w:t>
      </w:r>
    </w:p>
    <w:p>
      <w:pPr>
        <w:pStyle w:val="Heading2"/>
      </w:pPr>
      <w:r>
        <w:t>Weiteres Vorgehen</w:t>
      </w:r>
    </w:p>
    <w:p>
      <w:r>
        <w:t>Die Verfahrensleitung prüft, ob für administrative Zwecke eine stark gekürzte Fassung genügt. Die vollständige Korrespondenz wird für den nachvollziehbaren Aktenverlauf benötigt.</w:t>
      </w:r>
    </w:p>
    <w:sectPr w:rsidR="00FC693F" w:rsidRPr="0006063C" w:rsidSect="00034616">
      <w:pgSz w:w="12240" w:h="15840"/>
      <w:pgMar w:top="935"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