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Befund zur nuklearen Sicherheitskoordination in der Übergangsphase</w:t>
      </w:r>
    </w:p>
    <w:p>
      <w:pPr>
        <w:pStyle w:val="Heading2"/>
      </w:pPr>
      <w:r>
        <w:t>Ausgangslage</w:t>
      </w:r>
    </w:p>
    <w:p>
      <w:r>
        <w:t>Der fiktive Prüfbericht dokumentiert die Abstimmung zwischen technischen Verantwortlichen und der behördlichen Aufsicht einer Kernanlage. Mehrere Änderungen an einer Hilfsfunktion müssen vor einer geplanten Betriebsphase gemeinsam bewertet werden.</w:t>
      </w:r>
    </w:p>
    <w:p>
      <w:pPr>
        <w:pStyle w:val="Heading2"/>
      </w:pPr>
      <w:r>
        <w:t>Sachverhalt und wesentliche Abhängigkeiten</w:t>
      </w:r>
    </w:p>
    <w:p>
      <w:r>
        <w:t>Eine noch ausstehende Schnittstellenprüfung lässt offen, ob zwei Schutzkonzepte unter einer bestimmten Ausnahmesituation gleichzeitig wirksam bleiben. Die Fachpersonen haben die Abweichung nachvollziehbar beschrieben und die weiteren Prüfungen terminiert. Konkrete technische Einstellungen und Baupläne werden im Dokument nicht genannt.</w:t>
      </w:r>
    </w:p>
    <w:p>
      <w:pPr>
        <w:pStyle w:val="Heading2"/>
      </w:pPr>
      <w:r>
        <w:t>Folgen einer unberechtigten Kenntnisnahme</w:t>
      </w:r>
    </w:p>
    <w:p>
      <w:r>
        <w:t>Die Kenntnis dieses bislang nicht behobenen Befunds könnte missbraucht werden, um gezielt eine Situation herbeizuführen, in der nach der vorliegenden Fachbewertung die nukleare Sicherheit unmittelbar gefährdet wäre. Die mögliche Folge geht damit über einen nur indirekten Einfluss auf die Anlage hinaus.</w:t>
      </w:r>
    </w:p>
    <w:p>
      <w:pPr>
        <w:pStyle w:val="Heading2"/>
      </w:pPr>
      <w:r>
        <w:t>Weiteres Vorgehen</w:t>
      </w:r>
    </w:p>
    <w:p>
      <w:r>
        <w:t>Die Freigabe erfolgt erst nach erfolgreicher Prüfung der Abhängigkeit. Die Einstufungshypothese muss sich an der fachlich belegten Gefährdung orientieren, nicht an dem blossen Auftreten des Wortes Kernanlage.</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