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Fiktive Schweizer Bundesverwaltung · Fachunterlage · 15. Oktober 2026</w:t>
      </w:r>
    </w:p>
    <w:p>
      <w:pPr>
        <w:pStyle w:val="Title"/>
      </w:pPr>
      <w:r>
        <w:t>Verhandlungsspielraum für ein bedeutendes multilaterales Abkommen</w:t>
      </w:r>
    </w:p>
    <w:p>
      <w:pPr>
        <w:pStyle w:val="Heading2"/>
      </w:pPr>
      <w:r>
        <w:t>Ausgangslage</w:t>
      </w:r>
    </w:p>
    <w:p>
      <w:r>
        <w:t>Das fiktive Projektteam für ein wichtiges multilaterales Abkommen hat den Spielraum der Schweizer Delegation in einer internen Arbeitsunterlage untersucht. Der Entwurf enthält verschiedene Tauschoptionen, die untereinander abhängig sind, aber noch nicht von der zuständigen Stelle genehmigt wurden.</w:t>
      </w:r>
    </w:p>
    <w:p>
      <w:pPr>
        <w:pStyle w:val="Heading2"/>
      </w:pPr>
      <w:r>
        <w:t>Sachverhalt und wesentliche Abhängigkeiten</w:t>
      </w:r>
    </w:p>
    <w:p>
      <w:r>
        <w:t>Die Auswertung nennt zu jedem Verhandlungskapitel einen minimal akzeptablen Ausgang und die Ressorts, deren Zustimmung dafür erforderlich wäre. Besonders hervorgehoben werden die Punkte, an denen ein Nachgeben nur bei einer Gegenleistung in einem anderen Kapitel tragbar erscheint.</w:t>
      </w:r>
    </w:p>
    <w:p>
      <w:pPr>
        <w:pStyle w:val="Heading2"/>
      </w:pPr>
      <w:r>
        <w:t>Folgen einer unberechtigten Kenntnisnahme</w:t>
      </w:r>
    </w:p>
    <w:p>
      <w:r>
        <w:t>Würde die Gegenseite diese Verknüpfungen vor der nächsten Runde kennen, könnte sie gezielt ihre Forderungen auf die intern festgehaltenen Grenzen ausrichten. Der Verhandlungsspielraum der Schweiz in einem wichtigen aussenpolitischen Geschäft wäre vorübergehend erheblich geschwächt. Die Notiz beschreibt diesen konkreten Nachteil als plausiblen Effekt der Offenlegung.</w:t>
      </w:r>
    </w:p>
    <w:p>
      <w:pPr>
        <w:pStyle w:val="Heading2"/>
      </w:pPr>
      <w:r>
        <w:t>Weiteres Vorgehen</w:t>
      </w:r>
    </w:p>
    <w:p>
      <w:r>
        <w:t>Die interne Arbeitsunterlage wird nach dem Abgleich zwischen den Ressorts ersetzt. Der Testfall behandelt ausschliesslich den noch laufenden bedeutenden Verhandlungsprozess.</w:t>
      </w:r>
    </w:p>
    <w:sectPr w:rsidR="00FC693F" w:rsidRPr="0006063C" w:rsidSect="00034616">
      <w:pgSz w:w="12240" w:h="15840"/>
      <w:pgMar w:top="935"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