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 Schweizer Bundesverwaltung · Fachunterlage · 15. Oktober 2026</w:t>
      </w:r>
    </w:p>
    <w:p>
      <w:pPr>
        <w:pStyle w:val="Title"/>
      </w:pPr>
      <w:r>
        <w:t>Verhandlungsmandat für internationale Krisenkooperation</w:t>
      </w:r>
    </w:p>
    <w:p>
      <w:pPr>
        <w:pStyle w:val="Heading2"/>
      </w:pPr>
      <w:r>
        <w:t>Ausgangslage</w:t>
      </w:r>
    </w:p>
    <w:p>
      <w:r>
        <w:t>Eine fiktive Schweizer Delegation bereitet die Aushandlung eines grenzüberschreitenden Kooperationsrahmens zur Krisenbewältigung vor. Mehrere Bundesstellen haben unterschiedliche Mindestbedingungen für ihre Zustimmung formuliert.</w:t>
      </w:r>
    </w:p>
    <w:p>
      <w:pPr>
        <w:pStyle w:val="Heading2"/>
      </w:pPr>
      <w:r>
        <w:t>Sachverhalt und wesentliche Abhängigkeiten</w:t>
      </w:r>
    </w:p>
    <w:p>
      <w:r>
        <w:t>Die Entscheidungsnotiz erläutert den Zusammenhang zwischen den Bedingungen und jenen Punkten, die nur als spätes Verhandlungselement verwendet werden sollen. Die Gesamtabwägung ist noch nicht abgeschlossen. Ein Abschnitt nennt ausdrücklich die zwei Forderungen, die aus Sicht des Teams als letztes aufgegeben werden dürften.</w:t>
      </w:r>
    </w:p>
    <w:p>
      <w:pPr>
        <w:pStyle w:val="Heading2"/>
      </w:pPr>
      <w:r>
        <w:t>Folgen einer unberechtigten Kenntnisnahme</w:t>
      </w:r>
    </w:p>
    <w:p>
      <w:r>
        <w:t>Eine unberechtigte Kenntnisnahme vor dem Abschluss würde den Verhandlungspartnern eine gezielte Strategie gegen diese noch nicht öffentlich bekannten Rückzugslinien ermöglichen. Dadurch wäre die Verhandlungsposition der Schweiz in einem wichtigen aussenpolitischen Geschäft vorübergehend erheblich geschwächt.</w:t>
      </w:r>
    </w:p>
    <w:p>
      <w:pPr>
        <w:pStyle w:val="Heading2"/>
      </w:pPr>
      <w:r>
        <w:t>Weiteres Vorgehen</w:t>
      </w:r>
    </w:p>
    <w:p>
      <w:r>
        <w:t>Der Bericht wird nach Freigabe des Mandats durch eine abgestimmte Fassung ersetzt. Der Grund für die Klassifizierung ergibt sich aus den inhaltlichen Verhandlungsgrenzen, nicht aus dem Dokumenttyp.</w:t>
      </w:r>
    </w:p>
    <w:sectPr w:rsidR="00FC693F" w:rsidRPr="0006063C" w:rsidSect="00034616">
      <w:pgSz w:w="12240" w:h="15840"/>
      <w:pgMar w:top="935"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