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Vorzeitige Offenlegung nationaler wirtschaftlicher Ausgleichsoptionen</w:t>
      </w:r>
    </w:p>
    <w:p>
      <w:pPr>
        <w:pStyle w:val="Heading2"/>
      </w:pPr>
      <w:r>
        <w:t>Ausgangslage</w:t>
      </w:r>
    </w:p>
    <w:p>
      <w:r>
        <w:t>Die fiktive Bundesfachstelle für Aussenwirtschaft hat mehrere Ausgleichsoptionen für einen bevorstehenden Entscheid in einem bedeutenden internationalen Wirtschaftsverfahren bewertet. Das Dokument legt die noch nicht abgestimmten Bewertungen und deren erwartete Marktfolgen dar.</w:t>
      </w:r>
    </w:p>
    <w:p>
      <w:pPr>
        <w:pStyle w:val="Heading2"/>
      </w:pPr>
      <w:r>
        <w:t>Sachverhalt und wesentliche Abhängigkeiten</w:t>
      </w:r>
    </w:p>
    <w:p>
      <w:r>
        <w:t>Die interne Rechnung zeigt, welche Variante von ausländischen Gegenparteien als besonders kostspielig für die Schweiz erkannt werden könnte und unter welchen Voraussetzungen eine Alternative tragbar wäre. Die Zahlen dienen einer politischen Abwägung und wurden noch nicht für externe Verhandlungen freigegeben.</w:t>
      </w:r>
    </w:p>
    <w:p>
      <w:pPr>
        <w:pStyle w:val="Heading2"/>
      </w:pPr>
      <w:r>
        <w:t>Folgen einer unberechtigten Kenntnisnahme</w:t>
      </w:r>
    </w:p>
    <w:p>
      <w:r>
        <w:t>Würde die Kombination aus internen Verlustgrenzen und Alternativen bekannt, könnten internationale Gegenparteien ihre Forderungen entsprechend anpassen. In diesem synthetischen, wirtschaftlich gewichtigen Geschäft wäre die Schweiz dadurch erheblich benachteiligt. Der erwartete Schaden hängt von der konkreten Verhandlungssituation ab, nicht von einer pauschalen Einstufung finanzieller Daten.</w:t>
      </w:r>
    </w:p>
    <w:p>
      <w:pPr>
        <w:pStyle w:val="Heading2"/>
      </w:pPr>
      <w:r>
        <w:t>Weiteres Vorgehen</w:t>
      </w:r>
    </w:p>
    <w:p>
      <w:r>
        <w:t>Die Leitung soll die Optionen vor der nächsten Verhandlung konsolidieren. Bis dahin stellt der Bericht einen ungewöhnlich klaren Einblick in die noch offenen wirtschaftspolitischen Entscheidungslinien dar.</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