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Bundesamt für Infrastrukturservices – Sitzungsprotokoll</w:t>
      </w:r>
    </w:p>
    <w:p>
      <w:pPr>
        <w:pStyle w:val="Title"/>
      </w:pPr>
      <w:r>
        <w:t>Protokoll: Koordinationssitzung Migration</w:t>
      </w:r>
    </w:p>
    <w:p>
      <w:r>
        <w:t>Sitzung vom 8. Oktober 2026</w:t>
      </w:r>
    </w:p>
    <w:p>
      <w:pPr>
        <w:pStyle w:val="Heading2"/>
      </w:pPr>
      <w:r>
        <w:t>Teilnehmende</w:t>
      </w:r>
    </w:p>
    <w:p>
      <w:r>
        <w:t>Mara Keller (Vorsitz), Luis Frei (Betrieb), Sven Vogt (Beschaffung), Nina Blum (Protokoll). Entschuldigt: Lea Maurer.</w:t>
      </w:r>
    </w:p>
    <w:p>
      <w:pPr>
        <w:pStyle w:val="Heading2"/>
      </w:pPr>
      <w:r>
        <w:t>Traktandum 1: Stand der Migration</w:t>
      </w:r>
    </w:p>
    <w:p>
      <w:r>
        <w:t>Von 42 vorgesehenen Anwendungen wurden 31 umgestellt. Das Team beschliesst, die allgemeine Projektübersicht nach der nächsten Sitzung zu aktualisieren. Die öffentlich angekündigte Einführung bleibt auf Ende November geplant.</w:t>
      </w:r>
    </w:p>
    <w:p>
      <w:pPr>
        <w:pStyle w:val="Heading2"/>
      </w:pPr>
      <w:r>
        <w:t>Traktandum 2: Betrieb</w:t>
      </w:r>
    </w:p>
    <w:p>
      <w:r>
        <w:t>Die Administrationsoberfläche des Altsystems bleibt bis zur Freigabe des Rückbauplans erreichbar. Der genaue Rückbauzeitpunkt wurde nicht entschieden. Ein separates Betriebskonzept mit Detailangaben liegt dem Protokoll nicht bei.</w:t>
      </w:r>
    </w:p>
    <w:p>
      <w:pPr>
        <w:pStyle w:val="Heading2"/>
      </w:pPr>
      <w:r>
        <w:t>Pendenzen</w:t>
      </w:r>
    </w:p>
    <w:p>
      <w:r>
        <w:t>Luis Frei klärt bis 20. Oktober die Abhängigkeiten; Sven Vogt bereitet einen Entwurf für die Beschaffungssitzung vor.</w:t>
      </w:r>
    </w:p>
    <w:sectPr w:rsidR="00FC693F" w:rsidRPr="0006063C" w:rsidSect="00034616">
      <w:pgSz w:w="12240" w:h="15840"/>
      <w:pgMar w:top="1304" w:right="1800" w:bottom="130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