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Weisung zur Verwendung generativer Assistenzsysteme</w:t>
      </w:r>
    </w:p>
    <w:p>
      <w:pPr>
        <w:pStyle w:val="Subtitle"/>
      </w:pPr>
      <w:r>
        <w:t>Fiktives Bundesamt für Verwaltungsdienste  |  Weisung  |  Referenz: FIK-0021/2026</w:t>
      </w:r>
    </w:p>
    <w:p>
      <w:r>
        <w:t>Synthetisches Beispieldokument – ausschliesslich für Systemtests erstellt.</w:t>
      </w:r>
    </w:p>
    <w:p>
      <w:r>
        <w:t>Stand: 15. Oktober 2026  |  Fiktive Organisation und fiktive Sachverhalte</w:t>
      </w:r>
    </w:p>
    <w:p>
      <w:pPr>
        <w:pStyle w:val="Heading2"/>
      </w:pPr>
      <w:r>
        <w:t>1. Ausgangslage</w:t>
      </w:r>
    </w:p>
    <w:p>
      <w:r>
        <w:t>Mehrere Fachbereiche nutzen seit dem Frühjahr lokale Assistenzsysteme zum Entwerfen von Texten. Die Anwendungen werden über einen zentralen Zugang bereitgestellt. In den Schulungsunterlagen steht der Satz «GEHEIM ist nicht gleich personenbezogen» als didaktisches Beispiel. Der Abschnitt dokumentiert den derzeitigen Kenntnisstand; Änderungen oder Ergänzungen werden in der folgenden Bearbeitung nachvollziehbar festgehalten.</w:t>
      </w:r>
    </w:p>
    <w:p>
      <w:r>
        <w:t>Einige Teams interpretierten die Beispiele irrtümlich als Klassifizierungsanweisung.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Fachstelle ergänzt ein Glossar und eine Zuständigkeitsmatrix.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2. Geltungsbereich</w:t>
      </w:r>
    </w:p>
    <w:p>
      <w:r>
        <w:t>Die Weisung gilt für interne Entwürfe, Vorlagen, Zusammenfassungen und öffentliche Kommunikation. Die Verantwortung für den Inhalt verbleibt bei der sachbearbeitenden Stelle. Fremde Dokumente dürfen nicht ohne Prüfung der zulässigen Bearbeitung importiert werden. Der Abschnitt dokumentiert den derzeitigen Kenntnisstand; Änderungen oder Ergänzungen werden in der folgenden Bearbeitung nachvollziehbar festgehalten.</w:t>
      </w:r>
    </w:p>
    <w:p>
      <w:r>
        <w:t>Die Plattformfreigabe ersetzt weder eine rechtliche Prüfung noch eine dokumentbezogene Freigabe.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Jede Organisationseinheit führt eine Liste ihrer typischen Anwendungsfälle.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3. Klassifizierungsbeispiele</w:t>
      </w:r>
    </w:p>
    <w:p>
      <w:r>
        <w:t>In Anhang A werden die Markierungen INTERN, VERTRAULICH und nicht klassifiziert nur zur Schulung erläutert. Die Beispielsätze enthalten keine operativen Einsatzdetails und keine tatsächlich geltenden Einstufungsentscheide. Der Abschnitt dokumentiert den derzeitigen Kenntnisstand; Änderungen oder Ergänzungen werden in der folgenden Bearbeitung nachvollziehbar festgehalten.</w:t>
      </w:r>
    </w:p>
    <w:p>
      <w:r>
        <w:t>Eine Wortsuche nach VERTRAULICH würde diese Weisung mehrfach treffen, obwohl sie nur darüber spricht.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Schulung soll den Unterschied zwischen Erwähnung und tatsächlicher Einstufung zeigen.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4. Personendaten in Beispielen</w:t>
      </w:r>
    </w:p>
    <w:p>
      <w:r>
        <w:t>Alle Fallpersonen tragen Namen wie Nora Beispiel und Tim Muster. E-Mail-Adressen verwenden die reservierte Domäne example.invalid. Die Schulung verwendet bewusst synthetische Personen und Institutionen. Der Abschnitt dokumentiert den derzeitigen Kenntnisstand; Änderungen oder Ergänzungen werden in der folgenden Bearbeitung nachvollziehbar festgehalten.</w:t>
      </w:r>
    </w:p>
    <w:p>
      <w:r>
        <w:t>Solche Namen sollen nicht als reale Identifikatoren behandelt werden.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Redaktion kontrolliert die Beispieldaten vor jeder Veröffentlichung.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5. Abläufe bei Unklarheit</w:t>
      </w:r>
    </w:p>
    <w:p>
      <w:r>
        <w:t>Bei Zweifeln wird die Frage nach der Einstufung der zuständigen Fachstelle vorgelegt. Ein vermerkter Datentyp allein bewirkt keine Einstufung nach Informationssicherheitsrecht. Der Abschnitt dokumentiert den derzeitigen Kenntnisstand; Änderungen oder Ergänzungen werden in der folgenden Bearbeitung nachvollziehbar festgehalten.</w:t>
      </w:r>
    </w:p>
    <w:p>
      <w:r>
        <w:t>Die kurze Checkliste kann Fehlanreize zur pauschalen Hochklassifizierung erzeugen.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Das Kontrollblatt wird vor der nächsten Schulung präzisiert.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6. Rollen und Verantwortung</w:t>
      </w:r>
    </w:p>
    <w:p>
      <w:r>
        <w:t>Die Linie verantwortet fachliche Aussagen; Informationssicherheit prüft die vorgesehenen Schutzmassnahmen; Datenschutz prüft die Bearbeitungsgrundlagen. Die genannten Rollen sind organisatorische Funktionen und keine personenbezogenen Fallakten. Der Abschnitt dokumentiert den derzeitigen Kenntnisstand; Änderungen oder Ergänzungen werden in der folgenden Bearbeitung nachvollziehbar festgehalten.</w:t>
      </w:r>
    </w:p>
    <w:p>
      <w:r>
        <w:t>Mehrfachzuständigkeiten führen gelegentlich zu widersprüchlichen Rückmeldungen.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Ein verbindlicher Eskalationsweg wird dokumentiert.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7. Dokumentationspflicht</w:t>
      </w:r>
    </w:p>
    <w:p>
      <w:r>
        <w:t>Freigabeentscheide werden mit Datum, Kontext und verantwortlicher Stelle dokumentiert. Die Weisung stellt keine konkrete Sicherheitslage eines produktiven Systems dar. Der Abschnitt dokumentiert den derzeitigen Kenntnisstand; Änderungen oder Ergänzungen werden in der folgenden Bearbeitung nachvollziehbar festgehalten.</w:t>
      </w:r>
    </w:p>
    <w:p>
      <w:r>
        <w:t>Ein isolierter Export der Schulungsfolie könnte den Zusammenhang verlieren.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Bei Auszügen ist ein Verweis auf das vollständige Dokument anzubringen.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8. Inkraftsetzung</w:t>
      </w:r>
    </w:p>
    <w:p>
      <w:r>
        <w:t>Die Weisung wird nach der internen Konsultation herausgegeben und nach sechs Monaten überprüft. Eine noch ausstehende Unterschrift der Leitung ist im Freigabeprotokoll festgehalten. Der Abschnitt dokumentiert den derzeitigen Kenntnisstand; Änderungen oder Ergänzungen werden in der folgenden Bearbeitung nachvollziehbar festgehalten.</w:t>
      </w:r>
    </w:p>
    <w:p>
      <w:r>
        <w:t>Der Entwurfsstatus ist nicht gleichbedeutend mit Geheimhaltungsbedürftigkeit.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Geschäftsstelle archiviert die genehmigte Fassung.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9. Zuständigkeiten und Aktenführung</w:t>
      </w:r>
    </w:p>
    <w:p>
      <w:r>
        <w:t>Die sachbearbeitende Stelle führt die in diesem Dokument genannten Angaben in einem abgegrenzten Geschäftsdossier. Fachliche Rückfragen werden nicht informell entschieden, sondern anhand der dokumentierten Zuständigkeiten geklärt. Änderungen am Sachverhalt werden mit Datum und Bearbeitungsgrund versehen.</w:t>
      </w:r>
    </w:p>
    <w:p>
      <w:r>
        <w:t>Die Aktenführung soll sicherstellen, dass spätere Leser zwischen Ausgangsinformationen, Abklärungen und Bewertungen unterscheiden können. Eine Weitergabe ohne den zugehörigen Kontext könnte zu falschen Schlussfolgerungen führen.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p>
      <w:pPr>
        <w:pStyle w:val="Heading2"/>
      </w:pPr>
      <w:r>
        <w:t>10. Qualitätssicherung und offene Fragen</w:t>
      </w:r>
    </w:p>
    <w:p>
      <w:r>
        <w:t>Für die abschliessende Qualitätsprüfung werden die noch offenen Sachverhalte gesondert aufgeführt. Bestehende Angaben gelten nur für den beschriebenen Bearbeitungsstand und sind nicht ohne Weiteres auf andere Dienststellen oder Verfahren übertragbar.</w:t>
      </w:r>
    </w:p>
    <w:p>
      <w:r>
        <w:t>In der internen Rückmeldung wurde darauf hingewiesen, dass vereinfachte Zusammenfassungen wichtige Einschränkungen verlieren können. Die verantwortliche Stelle prüft deshalb, ob im Ergebnis alle relevanten Vorbehalte, Datenquellen und zeitlichen Grenzen sichtbar bleiben.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sectPr w:rsidR="00FC693F" w:rsidRPr="0006063C" w:rsidSect="00034616">
      <w:footerReference w:type="default" r:id="rId9"/>
      <w:pgSz w:w="12240" w:h="15840"/>
      <w:pgMar w:top="1304"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FIK-0021/2026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