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Aktennotiz zur internen Personalplanung</w:t>
      </w:r>
    </w:p>
    <w:p>
      <w:pPr>
        <w:pStyle w:val="Subtitle"/>
      </w:pPr>
      <w:r>
        <w:t>Fiktives Amt für Infrastrukturkoordination  |  Aktennotiz  |  Referenz: FIK-0027/2026</w:t>
      </w:r>
    </w:p>
    <w:p>
      <w:r>
        <w:t>Synthetisches Beispieldokument – ausschliesslich für Systemtests erstellt.</w:t>
      </w:r>
    </w:p>
    <w:p>
      <w:r>
        <w:t>Stand: 15. Oktober 2026  |  Fiktive Organisation und fiktive Sachverhalte</w:t>
      </w:r>
    </w:p>
    <w:p>
      <w:pPr>
        <w:pStyle w:val="Heading2"/>
      </w:pPr>
      <w:r>
        <w:t>1. Hintergrund</w:t>
      </w:r>
    </w:p>
    <w:p>
      <w:r>
        <w:t>Für die Umstellung eines Fachbereichs wurde eine Übergangsplanung erarbeitet. Die Abteilung umfasst neun Personen und nur eine Leitung für die Spezialfunktion Nachtkoordination. Der Abschnitt dokumentiert den derzeitigen Kenntnisstand; Änderungen oder Ergänzungen werden in der folgenden Bearbeitung nachvollziehbar festgehalten.</w:t>
      </w:r>
    </w:p>
    <w:p>
      <w:r>
        <w:t>Die Aktennotiz ist für einen beschränkten internen Empfängerkreis bestimmt.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Personalstelle prüft die Angaben auf Erforderlichkeit.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2. Einsatzfähigkeit</w:t>
      </w:r>
    </w:p>
    <w:p>
      <w:r>
        <w:t>Die einzige Leiterin der Nachtkoordination kehrt nach einem längeren psychiatrischen Klinikaufenthalt schrittweise zurück. Die medizinische Information wurde in einem Gespräch mit der Personalstelle mitgeteilt. Der Abschnitt dokumentiert den derzeitigen Kenntnisstand; Änderungen oder Ergänzungen werden in der folgenden Bearbeitung nachvollziehbar festgehalten.</w:t>
      </w:r>
    </w:p>
    <w:p>
      <w:r>
        <w:t>Auch ohne Namensnennung kann die Funktion die Person im kleinen Team identifizierbar machen.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Notiz soll in einer datensparsameren Fassung neu erstellt werden.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3. Dienstplanung</w:t>
      </w:r>
    </w:p>
    <w:p>
      <w:r>
        <w:t>Die Übergangsplanung sieht befristet zwei stellvertretende Personen vor. Der Dienstplan nennt Kalenderwochen und die Übergabe wichtiger Aufgaben. Der Abschnitt dokumentiert den derzeitigen Kenntnisstand; Änderungen oder Ergänzungen werden in der folgenden Bearbeitung nachvollziehbar festgehalten.</w:t>
      </w:r>
    </w:p>
    <w:p>
      <w:r>
        <w:t>Diese organisatorischen Angaben können in Kombination den Rückschluss weiter erleichtern.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Planungsverantwortlichen werden über die notwendige Trennung informiert.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4. Kommunikation</w:t>
      </w:r>
    </w:p>
    <w:p>
      <w:r>
        <w:t>Gegenüber dem Team soll nur über die geänderte Aufgabenteilung gesprochen werden. Eine medizinische Begründung ist für die Dienstinformation nicht erforderlich. Der Abschnitt dokumentiert den derzeitigen Kenntnisstand; Änderungen oder Ergänzungen werden in der folgenden Bearbeitung nachvollziehbar festgehalten.</w:t>
      </w:r>
    </w:p>
    <w:p>
      <w:r>
        <w:t>Die derzeitige Aktennotiz enthält mehr persönliche Hintergründe als der Verteiler benötigt.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Es wird eine kurze, neutral formulierte Teammitteilung vorbereitet.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5. Leistungsbeurteilung</w:t>
      </w:r>
    </w:p>
    <w:p>
      <w:r>
        <w:t>Die Leitung hält fest, dass die fachliche Qualität in den bisherigen Einsätzen nicht beanstandet wurde. Daneben wird die aktuelle Verfügbarkeit für bestimmte Aufgaben eingeschränkt beschrieben. Der Abschnitt dokumentiert den derzeitigen Kenntnisstand; Änderungen oder Ergänzungen werden in der folgenden Bearbeitung nachvollziehbar festgehalten.</w:t>
      </w:r>
    </w:p>
    <w:p>
      <w:r>
        <w:t>Die Kombination von Gesundheits- und Arbeitsplatzangaben könnte zu einer breiteren Einschätzung der Person führen.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Personalstelle vermeidet Schlussfolgerungen über allgemeine Leistungsfähigkeit.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6. Bearbeitungszweck</w:t>
      </w:r>
    </w:p>
    <w:p>
      <w:r>
        <w:t>Die medizinische Angabe sollte lediglich eine befristete organisatorische Massnahme erklären. Eine automatisierte Profilbildung ist aus dem dokumentierten Vorgehen nicht ersichtlich. Der Abschnitt dokumentiert den derzeitigen Kenntnisstand; Änderungen oder Ergänzungen werden in der folgenden Bearbeitung nachvollziehbar festgehalten.</w:t>
      </w:r>
    </w:p>
    <w:p>
      <w:r>
        <w:t>Das Vorhandensein mehrerer Angaben ist nicht mit Profiling im gesetzlichen Sinn gleichzusetzen.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Der Bearbeitungsvorgang muss gegebenenfalls gesondert untersucht werden.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7. Informationsklassifizierung</w:t>
      </w:r>
    </w:p>
    <w:p>
      <w:r>
        <w:t>Einige Beteiligte schlugen wegen der Gesundheitsangabe unmittelbar VERTRAULICH vor. Eine Rechtsgrundlage für diese direkte Ableitung wurde nicht dokumentiert. Der Abschnitt dokumentiert den derzeitigen Kenntnisstand; Änderungen oder Ergänzungen werden in der folgenden Bearbeitung nachvollziehbar festgehalten.</w:t>
      </w:r>
    </w:p>
    <w:p>
      <w:r>
        <w:t>DSG-Kategorie und ISV-Klassifizierungsstufe sind unabhängig zu prüfen.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Die verantwortliche Stelle konsultiert die einschlägigen Kataloge.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8. Weiteres Vorgehen</w:t>
      </w:r>
    </w:p>
    <w:p>
      <w:r>
        <w:t>Die Personalstelle reduziert die Verteilung und ersetzt die Aktennotiz durch zwei zweckbezogene Dokumente. Die ursprüngliche Fassung bleibt bis zur Klärung kontrolliert abgelegt. Der Abschnitt dokumentiert den derzeitigen Kenntnisstand; Änderungen oder Ergänzungen werden in der folgenden Bearbeitung nachvollziehbar festgehalten.</w:t>
      </w:r>
    </w:p>
    <w:p>
      <w:r>
        <w:t>Ob ein besonderer Schutzbedarf vorliegt, ist von einer konkreten ISV-Einstufung zu unterscheiden. Für die Einordnung ist zu beachten, ob die Angaben als einzelne Beobachtungen, als zusammengefasste Informationen oder als Aussagen über konkrete Personen beziehungsweise Systeme verstanden werden. Die zuständige Stelle darf unbelegte Annahmen nicht als bereits bestätigte Erkenntnisse behandeln.</w:t>
      </w:r>
    </w:p>
    <w:p>
      <w:r>
        <w:t>Der Bearbeitungsentscheid wird im Dossier vermerkt. Vor einer Weitergabe soll geprüft werden, ob alle Empfänger den notwendigen Kontext kennen und ob die im Text enthaltenen Informationen für den angegebenen Zweck benötigt werden. Wo Quellen fehlen, wird der Befund als offen statt als feststehend markiert.</w:t>
      </w:r>
    </w:p>
    <w:p>
      <w:r>
        <w:t>Für die nächste Bearbeitungsrunde wurde vereinbart, den Sachverhalt anhand der vorhandenen Akten zu überprüfen. Ein isolierter Auszug aus diesem Abschnitt könnte die Aussage verändern, insbesondere wenn die dazugehörigen Einschränkungen entfallen. Die Dokumentation dient deshalb sowohl dem operativen Vorgehen als auch der späteren Nachvollziehbarkeit.</w:t>
      </w:r>
    </w:p>
    <w:p>
      <w:pPr>
        <w:pStyle w:val="Heading2"/>
      </w:pPr>
      <w:r>
        <w:t>9. Zuständigkeiten und Aktenführung</w:t>
      </w:r>
    </w:p>
    <w:p>
      <w:r>
        <w:t>Die sachbearbeitende Stelle führt die in diesem Dokument genannten Angaben in einem abgegrenzten Geschäftsdossier. Fachliche Rückfragen werden nicht informell entschieden, sondern anhand der dokumentierten Zuständigkeiten geklärt. Änderungen am Sachverhalt werden mit Datum und Bearbeitungsgrund versehen.</w:t>
      </w:r>
    </w:p>
    <w:p>
      <w:r>
        <w:t>Die Aktenführung soll sicherstellen, dass spätere Leser zwischen Ausgangsinformationen, Abklärungen und Bewertungen unterscheiden können. Eine Weitergabe ohne den zugehörigen Kontext könnte zu falschen Schlussfolgerungen führen.</w:t>
      </w:r>
    </w:p>
    <w:p>
      <w:r>
        <w:t>Auf eine pauschale Interpretation einzelner Signalwörter wird bewusst verzichtet. Die Unterlagen müssen im Zusammenhang mit ihrem Erstellungszweck, dem Empfängerkreis und den belegten Umständen betrachtet werden.</w:t>
      </w:r>
    </w:p>
    <w:p>
      <w:r>
        <w:t>Die ausstehenden Rückfragen werden in der nächsten Bearbeitungsrunde gesammelt. Entscheide und ihre Begründung werden getrennt von den zugrunde liegenden Beobachtungen dokumentiert.</w:t>
      </w:r>
    </w:p>
    <w:p>
      <w:pPr>
        <w:pStyle w:val="Heading2"/>
      </w:pPr>
      <w:r>
        <w:t>10. Qualitätssicherung und offene Fragen</w:t>
      </w:r>
    </w:p>
    <w:p>
      <w:r>
        <w:t>Für die abschliessende Qualitätsprüfung werden die noch offenen Sachverhalte gesondert aufgeführt. Bestehende Angaben gelten nur für den beschriebenen Bearbeitungsstand und sind nicht ohne Weiteres auf andere Dienststellen oder Verfahren übertragbar.</w:t>
      </w:r>
    </w:p>
    <w:p>
      <w:r>
        <w:t>In der internen Rückmeldung wurde darauf hingewiesen, dass vereinfachte Zusammenfassungen wichtige Einschränkungen verlieren können. Die verantwortliche Stelle prüft deshalb, ob im Ergebnis alle relevanten Vorbehalte, Datenquellen und zeitlichen Grenzen sichtbar bleiben.</w:t>
      </w:r>
    </w:p>
    <w:p>
      <w:r>
        <w:t>Auf eine pauschale Interpretation einzelner Signalwörter wird bewusst verzichtet. Die Unterlagen müssen im Zusammenhang mit ihrem Erstellungszweck, dem Empfängerkreis und den belegten Umständen betrachtet werden.</w:t>
      </w:r>
    </w:p>
    <w:p>
      <w:r>
        <w:t>Die ausstehenden Rückfragen werden in der nächsten Bearbeitungsrunde gesammelt. Entscheide und ihre Begründung werden getrennt von den zugrunde liegenden Beobachtungen dokumentiert.</w:t>
      </w:r>
    </w:p>
    <w:sectPr w:rsidR="00FC693F" w:rsidRPr="0006063C" w:rsidSect="00034616">
      <w:footerReference w:type="default" r:id="rId9"/>
      <w:pgSz w:w="12240" w:h="15840"/>
      <w:pgMar w:top="1304"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FIK-0027/2026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