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Mitteilung zur öffentlichen Velowoche</w:t>
      </w:r>
    </w:p>
    <w:p>
      <w:pPr>
        <w:pStyle w:val="Heading2"/>
      </w:pPr>
      <w:r>
        <w:t>Ausgangslage</w:t>
      </w:r>
    </w:p>
    <w:p>
      <w:r>
        <w:t>Die fiktive Fachstelle Mobilität lädt die Bevölkerung zur Velowoche auf dem Bahnhofplatz ein. Das Programm wurde an der letzten öffentlichen Informationsveranstaltung vorgestellt und ist auf dem Veranstaltungskalender zugänglich.</w:t>
      </w:r>
    </w:p>
    <w:p>
      <w:pPr>
        <w:pStyle w:val="Heading2"/>
      </w:pPr>
      <w:r>
        <w:t>Inhalt und Einzelheiten</w:t>
      </w:r>
    </w:p>
    <w:p>
      <w:r>
        <w:t>Geplant sind eine Reparaturstation, Führungen zu sicheren Schulwegen und eine Podiumsdiskussion. Die Fachstelle informiert über Öffnungszeiten und die barrierefreie Erreichbarkeit. Als Kontaktperson ist die Sprecherin Lea Berger mit ihrer dienstlichen Telefonnummer angegeben.</w:t>
      </w:r>
    </w:p>
    <w:p>
      <w:pPr>
        <w:pStyle w:val="Heading2"/>
      </w:pPr>
      <w:r>
        <w:t>Einordnung des Sachverhalts</w:t>
      </w:r>
    </w:p>
    <w:p>
      <w:r>
        <w:t>Die Termine, Programmpunkte und Kontaktdaten sind für eine öffentliche Bekanntmachung bestimmt. Es werden weder nicht publizierte Positionen noch operative Ablaufdetails mit Sicherheitsrelevanz mitgeteilt.</w:t>
      </w:r>
    </w:p>
    <w:p>
      <w:pPr>
        <w:pStyle w:val="Heading2"/>
      </w:pPr>
      <w:r>
        <w:t>Weiteres Vorgehen</w:t>
      </w:r>
    </w:p>
    <w:p>
      <w:r>
        <w:t>Die nächste Medieninformation wird nach dem Anlass die Besucherzahlen und Rückmeldungen zusammenfassen.</w:t>
      </w:r>
    </w:p>
    <w:sectPr w:rsidR="00FC693F" w:rsidRPr="0006063C" w:rsidSect="00034616">
      <w:pgSz w:w="12240" w:h="15840"/>
      <w:pgMar w:top="1276" w:right="141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