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Protokoll des offenen Quartierdialogs</w:t>
      </w:r>
    </w:p>
    <w:p>
      <w:pPr>
        <w:pStyle w:val="Heading2"/>
      </w:pPr>
      <w:r>
        <w:t>Ausgangslage</w:t>
      </w:r>
    </w:p>
    <w:p>
      <w:r>
        <w:t>Die Koordinationsstelle Bürgerdialog hat eine öffentliche Gesprächsrunde zur Nutzung eines Mehrzwecksaals durchgeführt. Die Einladung und die Tagesordnung waren frei zugänglich.</w:t>
      </w:r>
    </w:p>
    <w:p>
      <w:pPr>
        <w:pStyle w:val="Heading2"/>
      </w:pPr>
      <w:r>
        <w:t>Inhalt und Einzelheiten</w:t>
      </w:r>
    </w:p>
    <w:p>
      <w:r>
        <w:t>Teilnehmende diskutierten über akustische Verbesserungen, Stuhlordnung und einen zusätzlichen Fahrradständer. Die Moderation fasste Vorschläge zusammen; über die Ausführung entscheiden später die zuständigen Stellen. Die Namen der zwei ehrenamtlichen Gesprächsleiter wurden mit deren Einverständnis im öffentlichen Protokoll genannt.</w:t>
      </w:r>
    </w:p>
    <w:p>
      <w:pPr>
        <w:pStyle w:val="Heading2"/>
      </w:pPr>
      <w:r>
        <w:t>Einordnung des Sachverhalts</w:t>
      </w:r>
    </w:p>
    <w:p>
      <w:r>
        <w:t>Das Dokument protokolliert ausschliesslich offen diskutierte Alltagsanliegen und enthält keine internen Entscheidungsvarianten oder Folgen einer Offenlegung für geschützte Interessen des Bundes.</w:t>
      </w:r>
    </w:p>
    <w:p>
      <w:pPr>
        <w:pStyle w:val="Heading2"/>
      </w:pPr>
      <w:r>
        <w:t>Weiteres Vorgehen</w:t>
      </w:r>
    </w:p>
    <w:p>
      <w:r>
        <w:t>Die vollständige Zusammenfassung wird im öffentlichen Quartiernewsletter abgedruckt.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