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Entscheidungsnotiz zur Ausstellungsbeschriftung</w:t>
      </w:r>
    </w:p>
    <w:p>
      <w:pPr>
        <w:pStyle w:val="Heading2"/>
      </w:pPr>
      <w:r>
        <w:t>Ausgangslage</w:t>
      </w:r>
    </w:p>
    <w:p>
      <w:r>
        <w:t>Eine öffentliche Ausstellung über die Geschichte des Papierverbrauchs benötigt neue Hinweisschilder. Die Verantwortlichen vergleichen drei sprachliche Varianten der Ausstellungstexte.</w:t>
      </w:r>
    </w:p>
    <w:p>
      <w:pPr>
        <w:pStyle w:val="Heading2"/>
      </w:pPr>
      <w:r>
        <w:t>Inhalt und Einzelheiten</w:t>
      </w:r>
    </w:p>
    <w:p>
      <w:r>
        <w:t>Variante A verwendet kurze Beschriftungen, Variante B ergänzt historische Kontexte, und Variante C enthält zusätzlich eine öffentlich zugängliche Literaturliste. Die Notiz bezieht sich auf gestalterische Verständlichkeit, nicht auf noch geheime strategische Überlegungen.</w:t>
      </w:r>
    </w:p>
    <w:p>
      <w:pPr>
        <w:pStyle w:val="Heading2"/>
      </w:pPr>
      <w:r>
        <w:t>Einordnung des Sachverhalts</w:t>
      </w:r>
    </w:p>
    <w:p>
      <w:r>
        <w:t>Die Optionen haben keine erkennbaren Folgen für geschützte Bundesinteressen, selbst wenn der Entwurf vor der redaktionellen Freigabe weitergegeben würde. Die Auswahl ist eine normale redaktionelle Angelegenheit.</w:t>
      </w:r>
    </w:p>
    <w:p>
      <w:pPr>
        <w:pStyle w:val="Heading2"/>
      </w:pPr>
      <w:r>
        <w:t>Weiteres Vorgehen</w:t>
      </w:r>
    </w:p>
    <w:p>
      <w:r>
        <w:t>Die Redaktion testet die Texte mit einer offenen Besuchendengruppe.</w:t>
      </w:r>
    </w:p>
    <w:sectPr w:rsidR="00FC693F" w:rsidRPr="0006063C" w:rsidSect="00034616">
      <w:pgSz w:w="12240" w:h="15840"/>
      <w:pgMar w:top="1276" w:right="1417" w:bottom="119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