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Kostenübersicht eines öffentlichen Lesetags</w:t>
      </w:r>
    </w:p>
    <w:p>
      <w:pPr>
        <w:pStyle w:val="Heading2"/>
      </w:pPr>
      <w:r>
        <w:t>Ausgangslage</w:t>
      </w:r>
    </w:p>
    <w:p>
      <w:r>
        <w:t>Eine regionale Veranstaltung zur Leseförderung legt die bereits publizierte Finanzierung offen.</w:t>
      </w:r>
    </w:p>
    <w:p>
      <w:pPr>
        <w:pStyle w:val="Heading2"/>
      </w:pPr>
      <w:r>
        <w:t>Inhalt und Einzelheiten</w:t>
      </w:r>
    </w:p>
    <w:p>
      <w:r>
        <w:t>Die Übersicht führt Miete, Honorare und Materialkosten in gerundeten Beträgen auf. Die Sponsoren haben der Veröffentlichung ihrer Beiträge zugestimmt. Der Text nennt weder interne Preisgrenzen für laufende Vergaben noch personenbezogene Finanzsituationen.</w:t>
      </w:r>
    </w:p>
    <w:p>
      <w:pPr>
        <w:pStyle w:val="Heading2"/>
      </w:pPr>
      <w:r>
        <w:t>Einordnung des Sachverhalts</w:t>
      </w:r>
    </w:p>
    <w:p>
      <w:r>
        <w:t>Der Text enthält ausschliesslich veröffentlichte Beträge und allgemein bekannte Angaben zur Finanzierung des Lesetags; laufende Offertverhandlungen werden nicht behandelt.</w:t>
      </w:r>
    </w:p>
    <w:p>
      <w:pPr>
        <w:pStyle w:val="Heading2"/>
      </w:pPr>
      <w:r>
        <w:t>Weiteres Vorgehen</w:t>
      </w:r>
    </w:p>
    <w:p>
      <w:r>
        <w:t>Die Schlussabrechnung wird dem öffentlichen Rechenschaftsbericht beigefügt.</w:t>
      </w:r>
    </w:p>
    <w:sectPr w:rsidR="00FC693F" w:rsidRPr="0006063C" w:rsidSect="00034616">
      <w:pgSz w:w="12240" w:h="15840"/>
      <w:pgMar w:top="1276" w:right="141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