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Anonymisierte Jahresstatistik zur Raumnutzung</w:t>
      </w:r>
    </w:p>
    <w:p>
      <w:pPr>
        <w:pStyle w:val="Heading2"/>
      </w:pPr>
      <w:r>
        <w:t>Ausgangslage</w:t>
      </w:r>
    </w:p>
    <w:p>
      <w:r>
        <w:t>Eine offene Statistik fasst die Nutzungsintensität von Sitzungsräumen einer grösseren Verwaltungsliegenschaft zusammen.</w:t>
      </w:r>
    </w:p>
    <w:p>
      <w:pPr>
        <w:pStyle w:val="Heading2"/>
      </w:pPr>
      <w:r>
        <w:t>Inhalt und Einzelheiten</w:t>
      </w:r>
    </w:p>
    <w:p>
      <w:r>
        <w:t>Sie zeigt monatliche Summen über rund fünfhundert Buchungen und unterscheidet lediglich zwischen grossen und kleinen Raumkategorien. Einzelne Buchungen, Personennamen und kleinen Gruppen zugeordnete Zeitfenster wurden nicht aufgenommen.</w:t>
      </w:r>
    </w:p>
    <w:p>
      <w:pPr>
        <w:pStyle w:val="Heading2"/>
      </w:pPr>
      <w:r>
        <w:t>Einordnung des Sachverhalts</w:t>
      </w:r>
    </w:p>
    <w:p>
      <w:r>
        <w:t>Die Werte sind für einen öffentlichen Nachhaltigkeitsbericht bestimmt. Nach den Testannahmen ist eine Identifizierung einzelner Personen aus dieser aggregierten Darstellung nicht möglich.</w:t>
      </w:r>
    </w:p>
    <w:p>
      <w:pPr>
        <w:pStyle w:val="Heading2"/>
      </w:pPr>
      <w:r>
        <w:t>Weiteres Vorgehen</w:t>
      </w:r>
    </w:p>
    <w:p>
      <w:r>
        <w:t>Im Folgejahr sollen zusätzlich die durchschnittlichen Raumtemperaturen veröffentlicht werden.</w:t>
      </w:r>
    </w:p>
    <w:sectPr w:rsidR="00FC693F" w:rsidRPr="0006063C" w:rsidSect="00034616">
      <w:pgSz w:w="12240" w:h="15840"/>
      <w:pgMar w:top="1276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