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Öffentliches Glossar zu Berechtigungsbegriffen</w:t>
      </w:r>
    </w:p>
    <w:p>
      <w:pPr>
        <w:pStyle w:val="Heading2"/>
      </w:pPr>
      <w:r>
        <w:t>Ausgangslage</w:t>
      </w:r>
    </w:p>
    <w:p>
      <w:r>
        <w:t>Ein Grundlagendokument erklärt Begriffe wie Leserecht, Schreibrecht und Rollenmodell für Personen ohne technische Vorkenntnisse.</w:t>
      </w:r>
    </w:p>
    <w:p>
      <w:pPr>
        <w:pStyle w:val="Heading2"/>
      </w:pPr>
      <w:r>
        <w:t>Inhalt und Einzelheiten</w:t>
      </w:r>
    </w:p>
    <w:p>
      <w:r>
        <w:t>Die Beispiele verwenden die Rollen Gast, Redaktion und Administration in einer ausdrücklich erfundenen Demoanwendung. Es gibt weder reale Benutzerkennungen noch Produktionsprivilegien, Tokens oder privilegierte Pfade.</w:t>
      </w:r>
    </w:p>
    <w:p>
      <w:pPr>
        <w:pStyle w:val="Heading2"/>
      </w:pPr>
      <w:r>
        <w:t>Einordnung des Sachverhalts</w:t>
      </w:r>
    </w:p>
    <w:p>
      <w:r>
        <w:t>Die Beschreibung verwendet ausschliesslich Modellrollen und Beispieldaten einer frei erfundenen Anwendung.</w:t>
      </w:r>
    </w:p>
    <w:p>
      <w:pPr>
        <w:pStyle w:val="Heading2"/>
      </w:pPr>
      <w:r>
        <w:t>Weiteres Vorgehen</w:t>
      </w:r>
    </w:p>
    <w:p>
      <w:r>
        <w:t>Das Glossar erscheint als Beilage zu einem frei verfügbaren Lernmodul.</w:t>
      </w:r>
    </w:p>
    <w:sectPr w:rsidR="00FC693F" w:rsidRPr="0006063C" w:rsidSect="00034616">
      <w:pgSz w:w="12240" w:h="15840"/>
      <w:pgMar w:top="1276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