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</w:pPr>
      <w:r>
        <w:rPr>
          <w:b/>
          <w:color w:val="16181D"/>
          <w:sz w:val="40"/>
        </w:rPr>
        <w:t>Stratégie de Conciliation - 8 octobre 2026</w:t>
      </w:r>
    </w:p>
    <w:p>
      <w:pPr>
        <w:spacing w:before="0" w:after="120"/>
      </w:pPr>
      <w:r>
        <w:rPr>
          <w:b w:val="0"/>
          <w:color w:val="5F6874"/>
          <w:sz w:val="19"/>
        </w:rPr>
        <w:t>Chikhaoui Mounir c/ CNAV - Tribunal Judiciaire de Paris, Pôle Social PS ctX protection soc 5 - N° RG 24/00822</w:t>
      </w:r>
    </w:p>
    <w:p>
      <w:pPr>
        <w:spacing w:before="0" w:after="160"/>
        <w:pBdr>
          <w:bottom w:val="single" w:sz="6" w:space="4" w:color="DCDFE4"/>
        </w:pBdr>
      </w:pPr>
      <w:r>
        <w:rPr>
          <w:b w:val="0"/>
          <w:sz w:val="2"/>
        </w:rPr>
      </w:r>
    </w:p>
    <w:p>
      <w:pPr>
        <w:spacing w:before="280" w:after="120"/>
      </w:pPr>
      <w:r>
        <w:rPr>
          <w:b/>
          <w:color w:val="1F3864"/>
          <w:sz w:val="30"/>
        </w:rPr>
        <w:t>1. OBJET DE LA CONCILIATION</w:t>
      </w:r>
    </w:p>
    <w:p>
      <w:pPr>
        <w:spacing w:before="0" w:after="120"/>
      </w:pPr>
      <w:r>
        <w:rPr>
          <w:b w:val="0"/>
          <w:sz w:val="22"/>
        </w:rPr>
        <w:t>Pension de retraite personnelle - Régularisation suite au rejet initial de CNAV du 18 août 2023 et intervention de la Commission de Recours Amiable (CRA).</w:t>
      </w:r>
    </w:p>
    <w:p>
      <w:pPr>
        <w:spacing w:before="240" w:after="100"/>
      </w:pPr>
      <w:r>
        <w:rPr>
          <w:b/>
          <w:color w:val="1F3864"/>
          <w:sz w:val="26"/>
        </w:rPr>
        <w:t>Demandeur</w:t>
      </w:r>
    </w:p>
    <w:p>
      <w:pPr>
        <w:spacing w:before="0" w:after="120"/>
      </w:pPr>
      <w:r>
        <w:rPr>
          <w:b w:val="0"/>
          <w:sz w:val="22"/>
        </w:rPr>
        <w:t>Monsieur Mounir CHIKHAOUI, 49 rue de Douai, 75009 PARIS.</w:t>
      </w:r>
    </w:p>
    <w:p>
      <w:pPr>
        <w:spacing w:before="240" w:after="100"/>
      </w:pPr>
      <w:r>
        <w:rPr>
          <w:b/>
          <w:color w:val="1F3864"/>
          <w:sz w:val="26"/>
        </w:rPr>
        <w:t>Défenderesse</w:t>
      </w:r>
    </w:p>
    <w:p>
      <w:pPr>
        <w:spacing w:before="0" w:after="120"/>
      </w:pPr>
      <w:r>
        <w:rPr>
          <w:b w:val="0"/>
          <w:sz w:val="22"/>
        </w:rPr>
        <w:t>Caisse Nationale d'Assurance Vieillesse (CNAV).</w:t>
      </w:r>
    </w:p>
    <w:p>
      <w:pPr>
        <w:spacing w:before="280" w:after="120"/>
      </w:pPr>
      <w:r>
        <w:rPr>
          <w:b/>
          <w:color w:val="1F3864"/>
          <w:sz w:val="30"/>
        </w:rPr>
        <w:t>2. CHRONOLOGIE DES FAITS</w:t>
      </w:r>
    </w:p>
    <w:p>
      <w:pPr>
        <w:spacing w:before="240" w:after="100"/>
      </w:pPr>
      <w:r>
        <w:rPr>
          <w:b/>
          <w:color w:val="1F3864"/>
          <w:sz w:val="26"/>
        </w:rPr>
        <w:t>28 juin 2023 - Première évaluation (AVANT CRA)</w:t>
      </w:r>
    </w:p>
    <w:p>
      <w:pPr>
        <w:pStyle w:val="ListBullet"/>
        <w:spacing w:before="0" w:after="60"/>
      </w:pPr>
      <w:r>
        <w:rPr>
          <w:b w:val="0"/>
          <w:sz w:val="22"/>
        </w:rPr>
        <w:t>Retraite au 01/05/2023: 225,19€/mois (56 trimestres)</w:t>
      </w:r>
    </w:p>
    <w:p>
      <w:pPr>
        <w:pStyle w:val="ListBullet"/>
        <w:spacing w:before="0" w:after="60"/>
      </w:pPr>
      <w:r>
        <w:rPr>
          <w:b w:val="0"/>
          <w:sz w:val="22"/>
        </w:rPr>
        <w:t>Retraite au taux plein 01/12/2027: 295,33€/mois (56 trimestres)</w:t>
      </w:r>
    </w:p>
    <w:p>
      <w:pPr>
        <w:pStyle w:val="ListBullet"/>
        <w:spacing w:before="0" w:after="60"/>
      </w:pPr>
      <w:r>
        <w:rPr>
          <w:b w:val="0"/>
          <w:sz w:val="22"/>
        </w:rPr>
        <w:t>Revenu 1995: 27 548,77€</w:t>
      </w:r>
    </w:p>
    <w:p>
      <w:pPr>
        <w:spacing w:before="240" w:after="100"/>
      </w:pPr>
      <w:r>
        <w:rPr>
          <w:b/>
          <w:color w:val="1F3864"/>
          <w:sz w:val="26"/>
        </w:rPr>
        <w:t>18 août 2023 - Rejet CNAV</w:t>
      </w:r>
    </w:p>
    <w:p>
      <w:pPr>
        <w:spacing w:before="0" w:after="120"/>
      </w:pPr>
      <w:r>
        <w:rPr>
          <w:b w:val="0"/>
          <w:sz w:val="22"/>
        </w:rPr>
        <w:t>CNAV refuse d'intégrer 54 trimestres RTH NETGOCE (2004-2017) et deux arrêts de Cour d'appel concernant arriérés GERME. Motif allégué: 'Activité Gérant Associé' (document non identifié dans le dossier).</w:t>
      </w:r>
    </w:p>
    <w:p>
      <w:pPr>
        <w:spacing w:before="240" w:after="100"/>
      </w:pPr>
      <w:r>
        <w:rPr>
          <w:b/>
          <w:color w:val="1F3864"/>
          <w:sz w:val="26"/>
        </w:rPr>
        <w:t>4 octobre 2023 - Recours devant la CRA</w:t>
      </w:r>
    </w:p>
    <w:p>
      <w:pPr>
        <w:spacing w:before="0" w:after="120"/>
      </w:pPr>
      <w:r>
        <w:rPr>
          <w:b w:val="0"/>
          <w:sz w:val="22"/>
        </w:rPr>
        <w:t>Demande de régularisation avec quatre objets: RTH NETGOCE, deux arrêts GERME (juin 1997 et novembre 1996), et autres éléments.</w:t>
      </w:r>
    </w:p>
    <w:p>
      <w:pPr>
        <w:spacing w:before="240" w:after="100"/>
      </w:pPr>
      <w:r>
        <w:rPr>
          <w:b/>
          <w:color w:val="1F3864"/>
          <w:sz w:val="26"/>
        </w:rPr>
        <w:t>17 juin 2025 - Décision CRA</w:t>
      </w:r>
    </w:p>
    <w:p>
      <w:pPr>
        <w:spacing w:before="0" w:after="120"/>
      </w:pPr>
      <w:r>
        <w:rPr>
          <w:b w:val="0"/>
          <w:sz w:val="22"/>
        </w:rPr>
        <w:t>La CRA transmet le dossier à l'autorité compétente pour nouvelle étude.</w:t>
      </w:r>
    </w:p>
    <w:p>
      <w:pPr>
        <w:spacing w:before="240" w:after="100"/>
      </w:pPr>
      <w:r>
        <w:rPr>
          <w:b/>
          <w:color w:val="1F3864"/>
          <w:sz w:val="26"/>
        </w:rPr>
        <w:t>15 septembre 2025 - Régularisation CNAV (APRÈS CRA)</w:t>
      </w:r>
    </w:p>
    <w:p>
      <w:pPr>
        <w:pStyle w:val="ListBullet"/>
        <w:spacing w:before="0" w:after="60"/>
      </w:pPr>
      <w:r>
        <w:rPr>
          <w:b w:val="0"/>
          <w:sz w:val="22"/>
        </w:rPr>
        <w:t>Retraite au 01/05/2023: 635,58€/mois (110 trimestres) - AUGMENTATION +182%</w:t>
      </w:r>
    </w:p>
    <w:p>
      <w:pPr>
        <w:pStyle w:val="ListBullet"/>
        <w:spacing w:before="0" w:after="60"/>
      </w:pPr>
      <w:r>
        <w:rPr>
          <w:b w:val="0"/>
          <w:sz w:val="22"/>
        </w:rPr>
        <w:t>Retraite au taux plein 01/12/2027: 913,37€/mois (114 trimestres) - AUGMENTATION +209%</w:t>
      </w:r>
    </w:p>
    <w:p>
      <w:pPr>
        <w:pStyle w:val="ListBullet"/>
        <w:spacing w:before="0" w:after="60"/>
      </w:pPr>
      <w:r>
        <w:rPr>
          <w:b w:val="0"/>
          <w:sz w:val="22"/>
        </w:rPr>
        <w:t>Revenu 1995: 129 127,00€ (+101 578€)</w:t>
      </w:r>
    </w:p>
    <w:p>
      <w:pPr>
        <w:spacing w:before="0" w:after="120"/>
      </w:pPr>
      <w:r>
        <w:rPr>
          <w:b w:val="0"/>
          <w:sz w:val="22"/>
        </w:rPr>
        <w:t>CNAV confirme que le rejet initial était erroné et intègre précisément ce qui avait été refusé.</w:t>
      </w:r>
    </w:p>
    <w:p>
      <w:pPr>
        <w:spacing w:before="280" w:after="120"/>
      </w:pPr>
      <w:r>
        <w:rPr>
          <w:b/>
          <w:color w:val="1F3864"/>
          <w:sz w:val="30"/>
        </w:rPr>
        <w:t>3. IMPACT FINANCIER DU REFUS INITIAL</w:t>
      </w:r>
    </w:p>
    <w:p>
      <w:pPr>
        <w:spacing w:before="240" w:after="100"/>
      </w:pPr>
      <w:r>
        <w:rPr>
          <w:b/>
          <w:color w:val="1F3864"/>
          <w:sz w:val="26"/>
        </w:rPr>
        <w:t>Retraite au 01/05/2023 - Comparaison avant et après CRA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Élément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Juin 2023 (Rejet)</w:t>
            </w:r>
          </w:p>
        </w:tc>
        <w:tc>
          <w:tcPr>
            <w:tcW w:type="dxa" w:w="288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Septembre 2025 (Régularisé)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Trimestres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56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Montant mensuel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225,19€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635,58€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Augmentation mensuelle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410,39€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Taux d'augmentation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+182%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Revenu 1995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27 548,77€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129 127,00€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Augmentation revenu 1995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+101 578,23€</w:t>
            </w:r>
          </w:p>
        </w:tc>
      </w:tr>
    </w:tbl>
    <w:p>
      <w:pPr>
        <w:spacing w:before="0" w:after="120"/>
      </w:pPr>
      <w:r>
        <w:rPr>
          <w:b w:val="0"/>
          <w:sz w:val="12"/>
        </w:rPr>
      </w:r>
    </w:p>
    <w:p>
      <w:pPr>
        <w:spacing w:before="240" w:after="100"/>
      </w:pPr>
      <w:r>
        <w:rPr>
          <w:b/>
          <w:color w:val="1F3864"/>
          <w:sz w:val="26"/>
        </w:rPr>
        <w:t>Retraite au taux plein (01/12/2027)</w:t>
      </w:r>
    </w:p>
    <w:p>
      <w:pPr>
        <w:spacing w:before="0" w:after="120"/>
      </w:pPr>
      <w:r>
        <w:rPr>
          <w:b w:val="0"/>
          <w:sz w:val="22"/>
        </w:rPr>
        <w:t>Montant juin 2023: 295,33€/mois → Montant septembre 2025: 913,37€/mois (augmentation +618,04€, soit +209%).</w:t>
      </w:r>
    </w:p>
    <w:p>
      <w:pPr>
        <w:spacing w:before="280" w:after="120"/>
      </w:pPr>
      <w:r>
        <w:rPr>
          <w:b/>
          <w:color w:val="1F3864"/>
          <w:sz w:val="30"/>
        </w:rPr>
        <w:t>4. FONDEMENT DU RECOURS</w:t>
      </w:r>
    </w:p>
    <w:p>
      <w:pPr>
        <w:spacing w:before="240" w:after="100"/>
      </w:pPr>
      <w:r>
        <w:rPr>
          <w:b/>
          <w:color w:val="1F3864"/>
          <w:sz w:val="26"/>
        </w:rPr>
        <w:t>Erreur manifeste de CNAV</w:t>
      </w:r>
    </w:p>
    <w:p>
      <w:pPr>
        <w:spacing w:before="0" w:after="120"/>
      </w:pPr>
      <w:r>
        <w:rPr>
          <w:b w:val="0"/>
          <w:sz w:val="22"/>
        </w:rPr>
        <w:t>CNAV a refusé d'intégrer les éléments suivants, régulièrement documentés et justifiés:</w:t>
      </w:r>
    </w:p>
    <w:p>
      <w:pPr>
        <w:pStyle w:val="ListBullet"/>
        <w:spacing w:before="0" w:after="60"/>
      </w:pPr>
      <w:r>
        <w:rPr>
          <w:b w:val="0"/>
          <w:sz w:val="22"/>
        </w:rPr>
        <w:t>54 trimestres RTH NETGOCE (2004-2017) - Périodes de salariat déclaré et cotisé</w:t>
      </w:r>
    </w:p>
    <w:p>
      <w:pPr>
        <w:pStyle w:val="ListBullet"/>
        <w:spacing w:before="0" w:after="60"/>
      </w:pPr>
      <w:r>
        <w:rPr>
          <w:b w:val="0"/>
          <w:sz w:val="22"/>
        </w:rPr>
        <w:t>Arrêt Cour d'appel Paris du 26 juin 1997 (montants GERME 1990-1995)</w:t>
      </w:r>
    </w:p>
    <w:p>
      <w:pPr>
        <w:pStyle w:val="ListBullet"/>
        <w:spacing w:before="0" w:after="60"/>
      </w:pPr>
      <w:r>
        <w:rPr>
          <w:b w:val="0"/>
          <w:sz w:val="22"/>
        </w:rPr>
        <w:t>Arrêt du 13 novembre 1996 (arriérés GERME 1995-1996)</w:t>
      </w:r>
    </w:p>
    <w:p>
      <w:pPr>
        <w:spacing w:before="0" w:after="120"/>
      </w:pPr>
      <w:r>
        <w:rPr>
          <w:b w:val="0"/>
          <w:sz w:val="22"/>
        </w:rPr>
        <w:t>Ces éléments figuraient déjà au dossier ou ont été régulièrement remis en appui du recours CRA.</w:t>
      </w:r>
    </w:p>
    <w:p>
      <w:pPr>
        <w:spacing w:before="280" w:after="120"/>
      </w:pPr>
      <w:r>
        <w:rPr>
          <w:b/>
          <w:color w:val="1F3864"/>
          <w:sz w:val="30"/>
        </w:rPr>
        <w:t>5. DEMANDES À LA CONCILIATION</w:t>
      </w:r>
    </w:p>
    <w:p>
      <w:pPr>
        <w:spacing w:before="240" w:after="100"/>
      </w:pPr>
      <w:r>
        <w:rPr>
          <w:b/>
          <w:color w:val="1F3864"/>
          <w:sz w:val="26"/>
        </w:rPr>
        <w:t>Objectif principal: Régularisation complète</w:t>
      </w:r>
    </w:p>
    <w:p>
      <w:pPr>
        <w:pStyle w:val="ListBullet"/>
        <w:spacing w:before="0" w:after="60"/>
      </w:pPr>
      <w:r>
        <w:rPr>
          <w:b w:val="0"/>
          <w:sz w:val="22"/>
        </w:rPr>
        <w:t>Confirmation de la pension régularisée proposée en septembre 2025</w:t>
      </w:r>
    </w:p>
    <w:p>
      <w:pPr>
        <w:pStyle w:val="ListBullet"/>
        <w:spacing w:before="0" w:after="60"/>
      </w:pPr>
      <w:r>
        <w:rPr>
          <w:b w:val="0"/>
          <w:sz w:val="22"/>
        </w:rPr>
        <w:t>Intégration complète des 110 (ou 114) trimestres et du revenu 1995 revu</w:t>
      </w:r>
    </w:p>
    <w:p>
      <w:pPr>
        <w:pStyle w:val="ListBullet"/>
        <w:spacing w:before="0" w:after="60"/>
      </w:pPr>
      <w:r>
        <w:rPr>
          <w:b w:val="0"/>
          <w:sz w:val="22"/>
        </w:rPr>
        <w:t>Mise en paiement sans délai de la différence depuis mai 2023</w:t>
      </w:r>
    </w:p>
    <w:p>
      <w:pPr>
        <w:spacing w:before="240" w:after="100"/>
      </w:pPr>
      <w:r>
        <w:rPr>
          <w:b/>
          <w:color w:val="1F3864"/>
          <w:sz w:val="26"/>
        </w:rPr>
        <w:t>Objectif secondaire: Dommages et intérêts</w:t>
      </w:r>
    </w:p>
    <w:p>
      <w:pPr>
        <w:spacing w:before="0" w:after="120"/>
      </w:pPr>
      <w:r>
        <w:rPr>
          <w:b w:val="0"/>
          <w:sz w:val="22"/>
        </w:rPr>
        <w:t>Préjudice causé par le refus initial et le retard de régularisation (27 mois):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Période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Durée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Montant non payé</w:t>
            </w:r>
          </w:p>
        </w:tc>
        <w:tc>
          <w:tcPr>
            <w:tcW w:type="dxa" w:w="2160"/>
            <w:shd w:val="clear" w:fill="1F3864"/>
          </w:tcPr>
          <w:p>
            <w:r/>
            <w:r>
              <w:rPr>
                <w:b/>
                <w:color w:val="FFFFFF"/>
                <w:sz w:val="19"/>
              </w:rPr>
              <w:t>Total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Mai 2023 - septembre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27 mois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410,39€/mois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11 080,53€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Intérêts légaux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Calculés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À négocier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~2 000€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TOTAL DEMANDÉ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~13 080€</w:t>
            </w:r>
          </w:p>
        </w:tc>
      </w:tr>
    </w:tbl>
    <w:p>
      <w:pPr>
        <w:spacing w:before="0" w:after="120"/>
      </w:pPr>
      <w:r>
        <w:rPr>
          <w:b w:val="0"/>
          <w:sz w:val="12"/>
        </w:rPr>
      </w:r>
    </w:p>
    <w:p>
      <w:pPr>
        <w:spacing w:before="280" w:after="120"/>
      </w:pPr>
      <w:r>
        <w:rPr>
          <w:b/>
          <w:color w:val="1F3864"/>
          <w:sz w:val="30"/>
        </w:rPr>
        <w:t>6. PIÈCES À PRODUIRE À LA CONCILIATION</w:t>
      </w:r>
    </w:p>
    <w:p>
      <w:pPr>
        <w:spacing w:before="240" w:after="100"/>
      </w:pPr>
      <w:r>
        <w:rPr>
          <w:b/>
          <w:color w:val="1F3864"/>
          <w:sz w:val="26"/>
        </w:rPr>
        <w:t>Pièces de fond</w:t>
      </w:r>
    </w:p>
    <w:p>
      <w:pPr>
        <w:pStyle w:val="ListBullet"/>
        <w:spacing w:before="0" w:after="60"/>
      </w:pPr>
      <w:r>
        <w:rPr>
          <w:b w:val="0"/>
          <w:sz w:val="22"/>
        </w:rPr>
        <w:t>Évaluation CNAV du 28 juin 2023 (225,19€ et 295,33€)</w:t>
      </w:r>
    </w:p>
    <w:p>
      <w:pPr>
        <w:pStyle w:val="ListBullet"/>
        <w:spacing w:before="0" w:after="60"/>
      </w:pPr>
      <w:r>
        <w:rPr>
          <w:b w:val="0"/>
          <w:sz w:val="22"/>
        </w:rPr>
        <w:t>Proposition CNAV du 15 septembre 2025 (635,58€ et 913,37€)</w:t>
      </w:r>
    </w:p>
    <w:p>
      <w:pPr>
        <w:pStyle w:val="ListBullet"/>
        <w:spacing w:before="0" w:after="60"/>
      </w:pPr>
      <w:r>
        <w:rPr>
          <w:b w:val="0"/>
          <w:sz w:val="22"/>
        </w:rPr>
        <w:t>Lettre de rejet CNAV du 18 août 2023</w:t>
      </w:r>
    </w:p>
    <w:p>
      <w:pPr>
        <w:pStyle w:val="ListBullet"/>
        <w:spacing w:before="0" w:after="60"/>
      </w:pPr>
      <w:r>
        <w:rPr>
          <w:b w:val="0"/>
          <w:sz w:val="22"/>
        </w:rPr>
        <w:t>Courrier CRA du 17 juin 2025 confirmant la transmission</w:t>
      </w:r>
    </w:p>
    <w:p>
      <w:pPr>
        <w:spacing w:before="240" w:after="100"/>
      </w:pPr>
      <w:r>
        <w:rPr>
          <w:b/>
          <w:color w:val="1F3864"/>
          <w:sz w:val="26"/>
        </w:rPr>
        <w:t>Pièces relatives aux trimestres RTH NETGOCE</w:t>
      </w:r>
    </w:p>
    <w:p>
      <w:pPr>
        <w:pStyle w:val="ListBullet"/>
        <w:spacing w:before="0" w:after="60"/>
      </w:pPr>
      <w:r>
        <w:rPr>
          <w:b w:val="0"/>
          <w:sz w:val="22"/>
        </w:rPr>
        <w:t>Fiches de paie RTH NETGOCE 2004-2017 (justifiant 54 trimestres)</w:t>
      </w:r>
    </w:p>
    <w:p>
      <w:pPr>
        <w:pStyle w:val="ListBullet"/>
        <w:spacing w:before="0" w:after="60"/>
      </w:pPr>
      <w:r>
        <w:rPr>
          <w:b w:val="0"/>
          <w:sz w:val="22"/>
        </w:rPr>
        <w:t>Certificat de travail RTH NETGOCE</w:t>
      </w:r>
    </w:p>
    <w:p>
      <w:pPr>
        <w:spacing w:before="240" w:after="100"/>
      </w:pPr>
      <w:r>
        <w:rPr>
          <w:b/>
          <w:color w:val="1F3864"/>
          <w:sz w:val="26"/>
        </w:rPr>
        <w:t>Pièces relatives aux arrêts GERME</w:t>
      </w:r>
    </w:p>
    <w:p>
      <w:pPr>
        <w:pStyle w:val="ListBullet"/>
        <w:spacing w:before="0" w:after="60"/>
      </w:pPr>
      <w:r>
        <w:rPr>
          <w:b w:val="0"/>
          <w:sz w:val="22"/>
        </w:rPr>
        <w:t>Ordinance du Conseil de Prud'hommes du 21 novembre 1995 (première instance)</w:t>
      </w:r>
    </w:p>
    <w:p>
      <w:pPr>
        <w:pStyle w:val="ListBullet"/>
        <w:spacing w:before="0" w:after="60"/>
      </w:pPr>
      <w:r>
        <w:rPr>
          <w:b w:val="0"/>
          <w:sz w:val="22"/>
        </w:rPr>
        <w:t>Bulletins de salaire et chèques GERME 1995-1996 justifiant les montants des arrêts</w:t>
      </w:r>
    </w:p>
    <w:p>
      <w:pPr>
        <w:pStyle w:val="ListBullet"/>
        <w:spacing w:before="0" w:after="60"/>
      </w:pPr>
      <w:r>
        <w:rPr>
          <w:b w:val="0"/>
          <w:sz w:val="22"/>
        </w:rPr>
        <w:t>Courrier du 15 octobre 2025 à CNAV expliquant les deux salaires et leur liaison aux arrêts</w:t>
      </w:r>
    </w:p>
    <w:p>
      <w:pPr>
        <w:spacing w:before="240" w:after="100"/>
      </w:pPr>
      <w:r>
        <w:rPr>
          <w:b/>
          <w:color w:val="1F3864"/>
          <w:sz w:val="26"/>
        </w:rPr>
        <w:t>Pièces relatives à la saisine du tribunal</w:t>
      </w:r>
    </w:p>
    <w:p>
      <w:pPr>
        <w:pStyle w:val="ListBullet"/>
        <w:spacing w:before="0" w:after="60"/>
      </w:pPr>
      <w:r>
        <w:rPr>
          <w:b w:val="0"/>
          <w:sz w:val="22"/>
        </w:rPr>
        <w:t>Ordonnance du tribunal judiciaire du 2 septembre 2026 (désignation du conciliateur)</w:t>
      </w:r>
    </w:p>
    <w:p>
      <w:pPr>
        <w:spacing w:before="280" w:after="120"/>
      </w:pPr>
      <w:r>
        <w:rPr>
          <w:b/>
          <w:color w:val="1F3864"/>
          <w:sz w:val="30"/>
        </w:rPr>
        <w:t>7. STRATÉGIE DE NÉGOCIATION</w:t>
      </w:r>
    </w:p>
    <w:p>
      <w:pPr>
        <w:spacing w:before="240" w:after="100"/>
      </w:pPr>
      <w:r>
        <w:rPr>
          <w:b/>
          <w:color w:val="1F3864"/>
          <w:sz w:val="26"/>
        </w:rPr>
        <w:t>Position de force</w:t>
      </w:r>
    </w:p>
    <w:p>
      <w:pPr>
        <w:spacing w:before="0" w:after="120"/>
      </w:pPr>
      <w:r>
        <w:rPr>
          <w:b w:val="0"/>
          <w:sz w:val="22"/>
        </w:rPr>
        <w:t>CNAV a déjà confirmé en septembre 2025 que les éléments refusés en juin 2023 sont fondés et ont été intégrés. Il n'existe aucun désaccord de fond; seule une question administrative reste: confirmer cette régularisation à titre amiable et déterminer les intérêts dus.</w:t>
      </w:r>
    </w:p>
    <w:p>
      <w:pPr>
        <w:spacing w:before="240" w:after="100"/>
      </w:pPr>
      <w:r>
        <w:rPr>
          <w:b/>
          <w:color w:val="1F3864"/>
          <w:sz w:val="26"/>
        </w:rPr>
        <w:t>Scénario 1: Accord rapide</w:t>
      </w:r>
    </w:p>
    <w:p>
      <w:pPr>
        <w:pStyle w:val="ListBullet"/>
        <w:spacing w:before="0" w:after="60"/>
      </w:pPr>
      <w:r>
        <w:rPr>
          <w:b w:val="0"/>
          <w:sz w:val="22"/>
        </w:rPr>
        <w:t>CNAV accepte de verser immédiatement la différence (410,39€/mois × 27 mois) + intérêts légaux</w:t>
      </w:r>
    </w:p>
    <w:p>
      <w:pPr>
        <w:pStyle w:val="ListBullet"/>
        <w:spacing w:before="0" w:after="60"/>
      </w:pPr>
      <w:r>
        <w:rPr>
          <w:b w:val="0"/>
          <w:sz w:val="22"/>
        </w:rPr>
        <w:t>Avantage: Évite un contentieux au fond; dossier clos rapidement</w:t>
      </w:r>
    </w:p>
    <w:p>
      <w:pPr>
        <w:spacing w:before="240" w:after="100"/>
      </w:pPr>
      <w:r>
        <w:rPr>
          <w:b/>
          <w:color w:val="1F3864"/>
          <w:sz w:val="26"/>
        </w:rPr>
        <w:t>Scénario 2: Accord avec intérêts</w:t>
      </w:r>
    </w:p>
    <w:p>
      <w:pPr>
        <w:pStyle w:val="ListBullet"/>
        <w:spacing w:before="0" w:after="60"/>
      </w:pPr>
      <w:r>
        <w:rPr>
          <w:b w:val="0"/>
          <w:sz w:val="22"/>
        </w:rPr>
        <w:t>Montant de base: ~11 080€ (27 mois × 410,39€)</w:t>
      </w:r>
    </w:p>
    <w:p>
      <w:pPr>
        <w:pStyle w:val="ListBullet"/>
        <w:spacing w:before="0" w:after="60"/>
      </w:pPr>
      <w:r>
        <w:rPr>
          <w:b w:val="0"/>
          <w:sz w:val="22"/>
        </w:rPr>
        <w:t>+ Intérêts légaux (6% pour les créances de sécurité sociale): ~2 000€</w:t>
      </w:r>
    </w:p>
    <w:p>
      <w:pPr>
        <w:pStyle w:val="ListBullet"/>
        <w:spacing w:before="0" w:after="60"/>
      </w:pPr>
      <w:r>
        <w:rPr>
          <w:b w:val="0"/>
          <w:sz w:val="22"/>
        </w:rPr>
        <w:t>Total demandé: ~13 080€</w:t>
      </w:r>
    </w:p>
    <w:p>
      <w:pPr>
        <w:spacing w:before="240" w:after="100"/>
      </w:pPr>
      <w:r>
        <w:rPr>
          <w:b/>
          <w:color w:val="1F3864"/>
          <w:sz w:val="26"/>
        </w:rPr>
        <w:t>Scénario 3: Pas d'accord</w:t>
      </w:r>
    </w:p>
    <w:p>
      <w:pPr>
        <w:spacing w:before="0" w:after="120"/>
      </w:pPr>
      <w:r>
        <w:rPr>
          <w:b w:val="0"/>
          <w:sz w:val="22"/>
        </w:rPr>
        <w:t>En cas de désaccord à la conciliation, le dossier est saisi du juge; CNAV devra justifier le retard de régularisation et les motifs de refus initial. Les demandes de dommages et intérêts et capitalisation des intérêts seront jugées sur le fond.</w:t>
      </w:r>
    </w:p>
    <w:p>
      <w:pPr>
        <w:spacing w:before="280" w:after="120"/>
      </w:pPr>
      <w:r>
        <w:rPr>
          <w:b/>
          <w:color w:val="1F3864"/>
          <w:sz w:val="30"/>
        </w:rPr>
        <w:t>8. ARGUMENTS CLÉS À PRÉSENTER</w:t>
      </w:r>
    </w:p>
    <w:p>
      <w:pPr>
        <w:pStyle w:val="ListBullet"/>
        <w:spacing w:before="0" w:after="60"/>
      </w:pPr>
      <w:r>
        <w:rPr>
          <w:b w:val="0"/>
          <w:sz w:val="22"/>
        </w:rPr>
        <w:t>Reconnaissance par CNAV elle-même (septembre 2025) de l'erreur de juin 2023</w:t>
      </w:r>
    </w:p>
    <w:p>
      <w:pPr>
        <w:pStyle w:val="ListBullet"/>
        <w:spacing w:before="0" w:after="60"/>
      </w:pPr>
      <w:r>
        <w:rPr>
          <w:b w:val="0"/>
          <w:sz w:val="22"/>
        </w:rPr>
        <w:t>Absence de contestation de fait; seul le calendrier et les intérêts restent à négocier</w:t>
      </w:r>
    </w:p>
    <w:p>
      <w:pPr>
        <w:pStyle w:val="ListBullet"/>
        <w:spacing w:before="0" w:after="60"/>
      </w:pPr>
      <w:r>
        <w:rPr>
          <w:b w:val="0"/>
          <w:sz w:val="22"/>
        </w:rPr>
        <w:t>Préjudice concret et quantifiable: 27 mois de retard dans une pension d'un montant sensiblement augmenté</w:t>
      </w:r>
    </w:p>
    <w:p>
      <w:pPr>
        <w:pStyle w:val="ListBullet"/>
        <w:spacing w:before="0" w:after="60"/>
      </w:pPr>
      <w:r>
        <w:rPr>
          <w:b w:val="0"/>
          <w:sz w:val="22"/>
        </w:rPr>
        <w:t>Principes de sécurité sociale: obligation de l'organisme d'assurance de régulariser sans délai une erreur reconnue</w:t>
      </w:r>
    </w:p>
    <w:p>
      <w:pPr>
        <w:spacing w:before="280" w:after="120"/>
      </w:pPr>
      <w:r>
        <w:rPr>
          <w:b/>
          <w:color w:val="1F3864"/>
          <w:sz w:val="30"/>
        </w:rPr>
        <w:t>9. CONCLUSION</w:t>
      </w:r>
    </w:p>
    <w:p>
      <w:pPr>
        <w:spacing w:before="0" w:after="120"/>
      </w:pPr>
      <w:r>
        <w:rPr>
          <w:b w:val="0"/>
          <w:sz w:val="22"/>
        </w:rPr>
        <w:t>La présente conciliation porte sur un dossier où l'erreur de CNAV est reconnue et où les éléments de régularisation ne sont plus contestés depuis septembre 2025. L'enjeu de la séance du 8 octobre 2026 est de conclure un accord amiable sur la date d'effet de la régularisation et le montant des indemnisations dues au titre du préjudice causé par le retard.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