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MODULE CSE — STRUCTURE DÉTAILLÉE</w:t>
      </w:r>
    </w:p>
    <w:p>
      <w:pPr>
        <w:jc w:val="center"/>
      </w:pPr>
      <w:r>
        <w:rPr>
          <w:i/>
          <w:color w:val="606060"/>
          <w:sz w:val="21"/>
        </w:rPr>
        <w:t>Juris Expert MCH · modules, sous-modules et sous-sous-modules</w:t>
      </w:r>
    </w:p>
    <w:p/>
    <w:p/>
    <w:p>
      <w:r>
        <w:rPr>
          <w:b/>
          <w:color w:val="1F3B57"/>
          <w:sz w:val="26"/>
        </w:rPr>
        <w:t>SOCLE TRANSVERSE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b/>
                <w:sz w:val="17"/>
              </w:rPr>
              <w:t>S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FF2CC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FF2CC"/>
          </w:tcPr>
          <w:p>
            <w:r>
              <w:rPr>
                <w:b/>
                <w:sz w:val="17"/>
              </w:rPr>
              <w:t>Alimente le module CSE ET tous les autres modules du client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FF2CC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S.1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Registre du personnel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Fichier modèle · import · saisie manuelle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  <w:t>L.1221-13</w:t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S.2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Moteur d'effectif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Moyenne sur 12 mois glissants — calculée, jamais déclarée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  <w:t>L.2311-2</w:t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S.3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Convention collective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IDCC du client · dispositions plus favorables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S.4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Accord d'entreprise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Import</w:t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Dépôt PDF / Word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S.4.1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Accord d'entreprise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Analyse par thème</w:t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Mandats · élus · heures · réunions · consultations · BDESE · visio · budgets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S.4.2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Accord d'entreprise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Clause plus favorable</w:t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Appliquée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S.4.3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Accord d'entreprise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Clause licite moins favorable</w:t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Appliquée et signalée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FF2CC"/>
          </w:tcPr>
          <w:p>
            <w:r>
              <w:rPr>
                <w:sz w:val="17"/>
              </w:rPr>
              <w:t>S.4.4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Accord d'entreprise</w:t>
            </w:r>
          </w:p>
        </w:tc>
        <w:tc>
          <w:tcPr>
            <w:tcW w:type="dxa" w:w="2608"/>
            <w:shd w:val="clear" w:fill="FFF2CC"/>
          </w:tcPr>
          <w:p>
            <w:r>
              <w:rPr>
                <w:sz w:val="17"/>
              </w:rPr>
              <w:t>Clause sous plancher</w:t>
            </w:r>
          </w:p>
        </w:tc>
        <w:tc>
          <w:tcPr>
            <w:tcW w:type="dxa" w:w="5443"/>
            <w:shd w:val="clear" w:fill="FFF2CC"/>
          </w:tcPr>
          <w:p>
            <w:r>
              <w:rPr>
                <w:sz w:val="17"/>
              </w:rPr>
              <w:t>Écartée + alerte : inopposable</w:t>
            </w:r>
          </w:p>
        </w:tc>
        <w:tc>
          <w:tcPr>
            <w:tcW w:type="dxa" w:w="3175"/>
            <w:shd w:val="clear" w:fill="FFF2CC"/>
          </w:tcPr>
          <w:p>
            <w:r>
              <w:rPr>
                <w:i/>
                <w:sz w:val="17"/>
              </w:rPr>
              <w:t>L.2312-19 · L.2312-16</w:t>
            </w:r>
          </w:p>
        </w:tc>
        <w:tc>
          <w:tcPr>
            <w:tcW w:type="dxa" w:w="510"/>
            <w:shd w:val="clear" w:fill="FFF2CC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color w:val="1F3B57"/>
          <w:sz w:val="26"/>
        </w:rPr>
        <w:t>DIAGNOSTIC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DDEBF7"/>
          </w:tcPr>
          <w:p>
            <w:r>
              <w:rPr>
                <w:b/>
                <w:sz w:val="17"/>
              </w:rPr>
              <w:t>0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DDEBF7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DDEBF7"/>
          </w:tcPr>
          <w:p>
            <w:r>
              <w:rPr>
                <w:b/>
                <w:sz w:val="17"/>
              </w:rPr>
              <w:t>Porte d'entrée du module</w:t>
            </w:r>
          </w:p>
        </w:tc>
        <w:tc>
          <w:tcPr>
            <w:tcW w:type="dxa" w:w="3175"/>
            <w:shd w:val="clear" w:fill="DDEBF7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DDEBF7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DDEBF7"/>
          </w:tcPr>
          <w:p>
            <w:r>
              <w:rPr>
                <w:sz w:val="17"/>
              </w:rPr>
              <w:t>0.1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sz w:val="17"/>
              </w:rPr>
              <w:t>Effectif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DDEBF7"/>
          </w:tcPr>
          <w:p>
            <w:r>
              <w:rPr>
                <w:sz w:val="17"/>
              </w:rPr>
              <w:t>Calculé depuis le registre</w:t>
            </w:r>
          </w:p>
        </w:tc>
        <w:tc>
          <w:tcPr>
            <w:tcW w:type="dxa" w:w="3175"/>
            <w:shd w:val="clear" w:fill="DDEBF7"/>
          </w:tcPr>
          <w:p>
            <w:r>
              <w:rPr>
                <w:i/>
                <w:sz w:val="17"/>
              </w:rPr>
              <w:t>L.2311-2</w:t>
            </w:r>
          </w:p>
        </w:tc>
        <w:tc>
          <w:tcPr>
            <w:tcW w:type="dxa" w:w="510"/>
            <w:shd w:val="clear" w:fill="DDEBF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DDEBF7"/>
          </w:tcPr>
          <w:p>
            <w:r>
              <w:rPr>
                <w:sz w:val="17"/>
              </w:rPr>
              <w:t>0.2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sz w:val="17"/>
              </w:rPr>
              <w:t>Avez-vous un CSE ?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DDEBF7"/>
          </w:tcPr>
          <w:p>
            <w:r>
              <w:rPr>
                <w:sz w:val="17"/>
              </w:rPr>
              <w:t>Oui / Non</w:t>
            </w:r>
          </w:p>
        </w:tc>
        <w:tc>
          <w:tcPr>
            <w:tcW w:type="dxa" w:w="3175"/>
            <w:shd w:val="clear" w:fill="DDEBF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DDEBF7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DDEBF7"/>
          </w:tcPr>
          <w:p>
            <w:r>
              <w:rPr>
                <w:sz w:val="17"/>
              </w:rPr>
              <w:t>0.3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sz w:val="17"/>
              </w:rPr>
              <w:t>Aiguillage</w:t>
            </w:r>
          </w:p>
        </w:tc>
        <w:tc>
          <w:tcPr>
            <w:tcW w:type="dxa" w:w="2608"/>
            <w:shd w:val="clear" w:fill="DDEBF7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DDEBF7"/>
          </w:tcPr>
          <w:p>
            <w:r>
              <w:rPr>
                <w:sz w:val="17"/>
              </w:rPr>
              <w:t>Vers 1, 2 ou 3</w:t>
            </w:r>
          </w:p>
        </w:tc>
        <w:tc>
          <w:tcPr>
            <w:tcW w:type="dxa" w:w="3175"/>
            <w:shd w:val="clear" w:fill="DDEBF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DDEBF7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color w:val="1F3B57"/>
          <w:sz w:val="26"/>
        </w:rPr>
        <w:t>NON SOUMIS (&lt; 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E2EFDA"/>
          </w:tcPr>
          <w:p>
            <w:r>
              <w:rPr>
                <w:b/>
                <w:sz w:val="17"/>
              </w:rPr>
              <w:t>1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E2EFDA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E2EFDA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E2EFDA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E2EFDA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E2EFDA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  <w:t>Compléter le registre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2EFDA"/>
          </w:tcPr>
          <w:p>
            <w:r>
              <w:rPr>
                <w:sz w:val="17"/>
              </w:rPr>
              <w:t>Renvoi Espace RH — Personnel</w:t>
            </w:r>
          </w:p>
        </w:tc>
        <w:tc>
          <w:tcPr>
            <w:tcW w:type="dxa" w:w="3175"/>
            <w:shd w:val="clear" w:fill="E2EFDA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E2EFDA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E2EFDA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  <w:t>Compteur de franchissement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2EFDA"/>
          </w:tcPr>
          <w:p>
            <w:r>
              <w:rPr>
                <w:sz w:val="17"/>
              </w:rPr>
              <w:t>Mois consécutifs · date prévue d'atteinte du seuil</w:t>
            </w:r>
          </w:p>
        </w:tc>
        <w:tc>
          <w:tcPr>
            <w:tcW w:type="dxa" w:w="3175"/>
            <w:shd w:val="clear" w:fill="E2EFDA"/>
          </w:tcPr>
          <w:p>
            <w:r>
              <w:rPr>
                <w:i/>
                <w:sz w:val="17"/>
              </w:rPr>
              <w:t>L.2311-2</w:t>
            </w:r>
          </w:p>
        </w:tc>
        <w:tc>
          <w:tcPr>
            <w:tcW w:type="dxa" w:w="510"/>
            <w:shd w:val="clear" w:fill="E2EFDA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E2EFDA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  <w:t>Ce qui reste dû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2EFDA"/>
          </w:tcPr>
          <w:p>
            <w:r>
              <w:rPr>
                <w:sz w:val="17"/>
              </w:rPr>
              <w:t>Affichages · DUERP · obligation de sécurité</w:t>
            </w:r>
          </w:p>
        </w:tc>
        <w:tc>
          <w:tcPr>
            <w:tcW w:type="dxa" w:w="3175"/>
            <w:shd w:val="clear" w:fill="E2EFDA"/>
          </w:tcPr>
          <w:p>
            <w:r>
              <w:rPr>
                <w:i/>
                <w:sz w:val="17"/>
              </w:rPr>
              <w:t>L.4121-1</w:t>
            </w:r>
          </w:p>
        </w:tc>
        <w:tc>
          <w:tcPr>
            <w:tcW w:type="dxa" w:w="510"/>
            <w:shd w:val="clear" w:fill="E2EFDA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907"/>
            <w:shd w:val="clear" w:fill="E2EFDA"/>
          </w:tcPr>
          <w:p>
            <w:r>
              <w:rPr>
                <w:sz w:val="17"/>
              </w:rPr>
              <w:t>1.4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  <w:t>Alerte d'approche</w:t>
            </w:r>
          </w:p>
        </w:tc>
        <w:tc>
          <w:tcPr>
            <w:tcW w:type="dxa" w:w="2608"/>
            <w:shd w:val="clear" w:fill="E2EFDA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2EFDA"/>
          </w:tcPr>
          <w:p>
            <w:r>
              <w:rPr>
                <w:sz w:val="17"/>
              </w:rPr>
              <w:t>Bascule automatique vers le module 2</w:t>
            </w:r>
          </w:p>
        </w:tc>
        <w:tc>
          <w:tcPr>
            <w:tcW w:type="dxa" w:w="3175"/>
            <w:shd w:val="clear" w:fill="E2EFDA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E2EFDA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SOUMIS SANS CSE (&gt;= 11)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CE4D6"/>
          </w:tcPr>
          <w:p>
            <w:r>
              <w:rPr>
                <w:b/>
                <w:sz w:val="17"/>
              </w:rPr>
              <w:t>2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CE4D6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CE4D6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FCE4D6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CE4D6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CE4D6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Votre situation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CE4D6"/>
          </w:tcPr>
          <w:p>
            <w:r>
              <w:rPr>
                <w:sz w:val="17"/>
              </w:rPr>
              <w:t>Depuis quand · ancienneté de l'irrégularité</w:t>
            </w:r>
          </w:p>
        </w:tc>
        <w:tc>
          <w:tcPr>
            <w:tcW w:type="dxa" w:w="3175"/>
            <w:shd w:val="clear" w:fill="FCE4D6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CE4D6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CE4D6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Les risques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Entrave</w:t>
            </w:r>
          </w:p>
        </w:tc>
        <w:tc>
          <w:tcPr>
            <w:tcW w:type="dxa" w:w="5443"/>
            <w:shd w:val="clear" w:fill="FCE4D6"/>
          </w:tcPr>
          <w:p>
            <w:r>
              <w:rPr>
                <w:sz w:val="17"/>
              </w:rPr>
              <w:t>1 an d'emprisonnement + 7 500 €</w:t>
            </w:r>
          </w:p>
        </w:tc>
        <w:tc>
          <w:tcPr>
            <w:tcW w:type="dxa" w:w="3175"/>
            <w:shd w:val="clear" w:fill="FCE4D6"/>
          </w:tcPr>
          <w:p>
            <w:r>
              <w:rPr>
                <w:i/>
                <w:sz w:val="17"/>
              </w:rPr>
              <w:t>L.2317-1</w:t>
            </w:r>
          </w:p>
        </w:tc>
        <w:tc>
          <w:tcPr>
            <w:tcW w:type="dxa" w:w="510"/>
            <w:shd w:val="clear" w:fill="FCE4D6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CE4D6"/>
          </w:tcPr>
          <w:p>
            <w:r>
              <w:rPr>
                <w:sz w:val="17"/>
              </w:rPr>
              <w:t>2.2.1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Les risques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Préjudice automatique</w:t>
            </w:r>
          </w:p>
        </w:tc>
        <w:tc>
          <w:tcPr>
            <w:tcW w:type="dxa" w:w="5443"/>
            <w:shd w:val="clear" w:fill="FCE4D6"/>
          </w:tcPr>
          <w:p>
            <w:r>
              <w:rPr>
                <w:sz w:val="17"/>
              </w:rPr>
              <w:t>Dommages-intérêts à chaque salarié, sans preuve à rapporter</w:t>
            </w:r>
          </w:p>
        </w:tc>
        <w:tc>
          <w:tcPr>
            <w:tcW w:type="dxa" w:w="3175"/>
            <w:shd w:val="clear" w:fill="FCE4D6"/>
          </w:tcPr>
          <w:p>
            <w:r>
              <w:rPr>
                <w:i/>
                <w:sz w:val="17"/>
              </w:rPr>
              <w:t>Soc. 17 oct. 2018 n°17-14.392</w:t>
            </w:r>
          </w:p>
        </w:tc>
        <w:tc>
          <w:tcPr>
            <w:tcW w:type="dxa" w:w="510"/>
            <w:shd w:val="clear" w:fill="FCE4D6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CE4D6"/>
          </w:tcPr>
          <w:p>
            <w:r>
              <w:rPr>
                <w:sz w:val="17"/>
              </w:rPr>
              <w:t>2.2.2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Les risques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Procédures fragilisées</w:t>
            </w:r>
          </w:p>
        </w:tc>
        <w:tc>
          <w:tcPr>
            <w:tcW w:type="dxa" w:w="5443"/>
            <w:shd w:val="clear" w:fill="FCE4D6"/>
          </w:tcPr>
          <w:p>
            <w:r>
              <w:rPr>
                <w:sz w:val="17"/>
              </w:rPr>
              <w:t>Licenciement éco · inaptitude · règlement intérieur inopposable</w:t>
            </w:r>
          </w:p>
        </w:tc>
        <w:tc>
          <w:tcPr>
            <w:tcW w:type="dxa" w:w="3175"/>
            <w:shd w:val="clear" w:fill="FCE4D6"/>
          </w:tcPr>
          <w:p>
            <w:r>
              <w:rPr>
                <w:i/>
                <w:sz w:val="17"/>
              </w:rPr>
              <w:t>L.1233-8 · L.1226-15 · L.1321-4</w:t>
            </w:r>
          </w:p>
        </w:tc>
        <w:tc>
          <w:tcPr>
            <w:tcW w:type="dxa" w:w="510"/>
            <w:shd w:val="clear" w:fill="FCE4D6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CE4D6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  <w:t>Renvoi</w:t>
            </w:r>
          </w:p>
        </w:tc>
        <w:tc>
          <w:tcPr>
            <w:tcW w:type="dxa" w:w="2608"/>
            <w:shd w:val="clear" w:fill="FCE4D6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CE4D6"/>
          </w:tcPr>
          <w:p>
            <w:r>
              <w:rPr>
                <w:sz w:val="17"/>
              </w:rPr>
              <w:t>Vers le module ÉLECTIONS</w:t>
            </w:r>
          </w:p>
        </w:tc>
        <w:tc>
          <w:tcPr>
            <w:tcW w:type="dxa" w:w="3175"/>
            <w:shd w:val="clear" w:fill="FCE4D6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CE4D6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color w:val="1F3B57"/>
          <w:sz w:val="26"/>
        </w:rPr>
        <w:t>MODULE ÉLECTIONS   —   MODULE AUTONOME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b/>
                <w:sz w:val="17"/>
              </w:rPr>
              <w:t>E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E4DFEC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b/>
                <w:sz w:val="17"/>
              </w:rPr>
              <w:t>MODULE AUTONOME — isolable et vendable séparément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E4DFEC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E.1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Déclenchement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Information du personnel · 1er tour au plus tard J+90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L.2314-4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E.1.1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Déclenchement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Sur demande</w:t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Salarié ou OS : procédure engagée sous 1 mois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L.2314-8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E.2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Protocole préélectoral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Invitation des OS · négociation · collèges · répartition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L.2314-5 s.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E.3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Listes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Électeurs · éligibles · candidatures · parité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L.2314-18 s. · L.2314-30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E.4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Scrutin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1er tour · quorum 50 % des inscrits · 2nd tour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L.2314-29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E.5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Dépouillement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Attribution des sièges · représentativité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E.6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Résultats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PV CERFA · transmission · affichage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R.2314-22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E.7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Carence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PV de carence · transmission DREETS sous 15 j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L.2314-9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E.8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Élections partielles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Collège non représenté ou titulaires réduits de moitié · &gt; 6 mois avant fin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L.2314-10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E.9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Vote électronique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Accord ou décision unilatérale · cahier des charges · expertise indépendante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  <w:t>L.2314-26 · R.2314-5 s.</w:t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E.10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Contestations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Délais · irrégularités · causes d'annulation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E4DFEC"/>
          </w:tcPr>
          <w:p>
            <w:r>
              <w:rPr>
                <w:sz w:val="17"/>
              </w:rPr>
              <w:t>E.11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  <w:t>Transmission</w:t>
            </w:r>
          </w:p>
        </w:tc>
        <w:tc>
          <w:tcPr>
            <w:tcW w:type="dxa" w:w="2608"/>
            <w:shd w:val="clear" w:fill="E4DFEC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E4DFEC"/>
          </w:tcPr>
          <w:p>
            <w:r>
              <w:rPr>
                <w:sz w:val="17"/>
              </w:rPr>
              <w:t>Effectif · date du 1er tour · élus · OS → module 3 (couplage à sens unique)</w:t>
            </w:r>
          </w:p>
        </w:tc>
        <w:tc>
          <w:tcPr>
            <w:tcW w:type="dxa" w:w="3175"/>
            <w:shd w:val="clear" w:fill="E4DFEC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E4DFEC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color w:val="1F3B57"/>
          <w:sz w:val="26"/>
        </w:rPr>
        <w:t>CSE EN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3.0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Saisie initiale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Date du 1er tour · durée des mandats · élus · accord · mono/multi-établissements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color w:val="1F3B57"/>
          <w:sz w:val="26"/>
        </w:rPr>
        <w:t>3.1 MON CSE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Composition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Sièges · titulaires · suppléants selon l'effectif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R.2314-1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Crédits d'heures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Montant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10 h de 11 à 49 · 18 h à partir de 50 · puis tableau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R.2314-1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3.1.2a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Crédits d'heures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Report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12 mois · préavis 8 jours · plafond 1,5x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L.2315-8 · R.2315-5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3.1.2b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Crédits d'heures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Mutualisation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Entre titulaires et suppléants · 8 jours · plafond 1,5x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L.2315-9 · R.2315-6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3.1.2c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Crédits d'heures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NON décompté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Réunions convoquées par l'employeur · enquêtes AT graves · urgence · commissions (30 h / 60 h)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L.2315-11 · R.2315-7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3.1.2d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Crédits d'heures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Paiement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Payées à l'échéance ; contestation seulement après paiement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Présomption d'utilisation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Bureau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Secrétaire et trésorier (&gt;= 50) · référent harcèlement (tout CSE)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L.2315-23 · L.2314-1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Commissions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CSSCT 300 · formation/logement/égalité 300 · économique 1 000 · marchés (seuils comptables)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L.2315-36 s. · L.2315-44-1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CSE central / CSEE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Répartition des attributions · convention de rétrocession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L.2316-1 s. · L.2315-62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3.1.6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Formations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SSCT 5 j · économique 5 j (&gt;= 50) · renouvellement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L.2315-18 · L.2315-63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3.2 CALENDRIER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3.2.1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Réunions ordinaires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&lt; 50 : mensuelle · 50-299 : bimestrielle · &gt;= 300 : mensuelle — SAUF accord (&gt;= 6/an)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L.2315-21 · L.2315-28 · L.2312-19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3.2.2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Réunions SSCT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4 par an minimum — plancher non négociable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L.2315-27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3.2.3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Consultations récurrentes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Échéances · périodicité jusqu'à 3 ans par accord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L.2312-17 · L.2312-19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3.2.4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Fin des mandats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J-90 · relance des élections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L.2314-4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3.2.5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Échéances annexes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Index égalité (1er mars) · BDESE · bilan social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3.3 RÉUNIONS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Convocation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Destinataires · délais · preuve d'envoi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Ordre du jour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Conjoint président + secrétaire · 3 j (8 j CSE central)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L.2315-29 · L.2315-30 · L.2316-17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3.3.2a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Ordre du jour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Inscription de plein droit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En cas de désaccord, les consultations obligatoires y sont inscrites par l'un ou l'autre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L.2315-29 al.2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Tenue de séance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AUCUN quorum · majorité des membres présents · seuls les titulaires votent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L.2315-32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3.3.3a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Tenue de séance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Vote du président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Vote sur l'administration interne ; jamais quand il consulte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Soc. 25 sept. 2013 n°12-14.489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Visioconférence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3 par an à défaut d'accord · son et image continus et simultanés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L.2315-4 · D.2315-1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3.3.4a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Visioconférence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Vote à bulletin secret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Anonymat + simultanéité + durée identique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D.2315-2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Réunion extraordinaire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Par motif : employeur · 2 membres (SSCT) · majorité · accident grave · alerte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L.2315-27 · L.2315-28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3.3.6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Procès-verbal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Rédigé par le secrétaire · contenu minimal · adoption · diffusion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L.2315-34 · L.2315-35 · D.2315-26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3.3.6a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Procès-verbal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Délais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15 j · 3 j (PSE / licenciement éco) · 1 j (redressement, liquidation)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R.2315-25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3.3.7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Reports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Ce qui se reporte · ce qui ne se reporte pas (délai d'avis préfix)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L.2312-16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3.4 RÉCLAMATIONS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  <w:t>Questions posées par les membres du CSE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3.4.1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Registre spécial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Note écrite J-2 · réponse écrite J+6 · tenu à disposition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3.4.2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Compte à rebours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Date limite calculée par demande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3.4.3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Réponses types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Par thème · adaptées à la CCN du client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3.4.4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Garde-fou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Réclamation ou consultation ? · risque d'engagement unilatéral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3.4.5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Historique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Recherche · export · preuve en cas de contrôle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3.5 CONSULTATIONS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Les 3 récurrentes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Orientations stratégiques · situation économique · politique sociale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L.2312-17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Ponctuelles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Licenciement éco · inaptitude · projet important · nouvelles technologies · IA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L.2312-8 · L.2315-94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3.5.2a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Ponctuelles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IA et outils informatiques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Consultation due dès la phase pilote si usage effectif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TJ Nanterre 14 fév. 2025 n°24/01457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Délais d'avis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 mois · 2 mois avec expertise · 3 mois CSEC+CSEE · avis réputé négatif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L.2312-16 · R.2312-6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Prolongation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Par accord ou par le juge · la saisine ne suspend pas le délai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L.2312-15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Expertises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Cas de recours · financement · contestation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L.2315-78 s. · L.2315-94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3.5.5a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Expertises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Projet important dans un PSE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Expertise uniquement dans le cadre de L.1233-34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Soc. 18 mars 2026 n°23-22.270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3.5.6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BDESE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Structure · rubriques selon effectif · volet environnemental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L.2312-18 · L.2312-21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3.6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3.6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  <w:t>Uniquement à partir de 50 salariés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3.6.1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Fonctionnement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0,20 % (&lt; 2 000) · 0,22 % (&gt;= 2 000) · assiette L.242-1 CSS · hors indemnités de rupture CDI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L.2315-61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3.6.2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ASC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Pas d'obligation légale en soi · plancher si contribution antérieure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L.2312-81 · L.2312-78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3.6.2a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ASC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Pas de condition d'ancienneté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Tous salariés et stagiaires dès l'arrivée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Soc. 3 avril 2024 n°22-16.812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3.6.3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Transferts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10 % de l'excédent, dans chaque sens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R.2312-51 · R.2315-31-1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3.6.4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CSE central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Aucun budget propre · rétrocession par convention · à défaut, le TJ fixe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L.2315-62 · L.2312-82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3.6.5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Comptabilité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Petit / moyen / grand CSE · expert-comptable · commissaire aux comptes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L.2315-64 s.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3</w:t>
            </w:r>
          </w:p>
        </w:tc>
      </w:tr>
    </w:tbl>
    <w:p/>
    <w:p>
      <w:r>
        <w:rPr>
          <w:b/>
          <w:color w:val="1F3B57"/>
          <w:sz w:val="26"/>
        </w:rPr>
        <w:t>3.7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3.7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  <w:t>Tous adaptés à la CCN et à l'accord du client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Mise en route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PV 1re réunion · résolutions de désignation · règlement intérieur du CSE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L.2315-24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Vie courante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Convocation · ordre du jour · PV · délibérations · relevé de décisions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Alertes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4 trames : droits des personnes · danger grave · économique · sociale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L.2312-59 · L.2312-60 · L.2312-63 · L.2312-70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Enquête interne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Désignation · trame d'audition · rapport · restitution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Accords et NAO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Trames par thème · PV d'accord · PV de désaccord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3.7.6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Indicateurs légaux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BDESE · index égalité · bilan social (&gt;= 300) · bilan social individuel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3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3.7.7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Contrôle avant envoi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Mentions obligatoires · délais · clauses illicites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</w:tbl>
    <w:p/>
    <w:p>
      <w:r>
        <w:rPr>
          <w:b/>
          <w:color w:val="1F3B57"/>
          <w:sz w:val="26"/>
        </w:rPr>
        <w:t>3.8 SEUILS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3.8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  <w:t>Moteur de surveillance continue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3.8.1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Surveillance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11 · 50 · 300 · 1 000 · 2 000 · seuils comptables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L.2311-2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3.8.2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Franchissement à 50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12 mois consécutifs PUIS 12 mois : consultations récurrentes différées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L.2312-2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3.8.2a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Franchissement à 50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Non différé</w:t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Personnalité civile · budgets · bureau · RI · consultations ponctuelles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3.8.3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Franchissement à 300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CSSCT et commissions · pas de délai supplémentaire · pas d'élections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L.2315-36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3.8.4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Effet sur les mandats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Sièges et heures figés jusqu'au renouvellement · partielles seulement L.2314-10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L.2314-10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3.8.5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Journal horodaté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Preuve du respect des délais en cas de contrôle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rPr>
          <w:b/>
          <w:color w:val="1F3B57"/>
          <w:sz w:val="26"/>
        </w:rPr>
        <w:t>3.9 ENTRAVE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907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Sous-module</w:t>
            </w:r>
          </w:p>
        </w:tc>
        <w:tc>
          <w:tcPr>
            <w:tcW w:type="dxa" w:w="2608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Sous-sous-module</w:t>
            </w:r>
          </w:p>
        </w:tc>
        <w:tc>
          <w:tcPr>
            <w:tcW w:type="dxa" w:w="5443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Contenu</w:t>
            </w:r>
          </w:p>
        </w:tc>
        <w:tc>
          <w:tcPr>
            <w:tcW w:type="dxa" w:w="3175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Textes / jurisprudence</w:t>
            </w:r>
          </w:p>
        </w:tc>
        <w:tc>
          <w:tcPr>
            <w:tcW w:type="dxa" w:w="510"/>
            <w:shd w:val="clear" w:fill="1F3B57"/>
          </w:tcPr>
          <w:p>
            <w:r/>
            <w:r>
              <w:rPr>
                <w:b/>
                <w:color w:val="FFFFFF"/>
                <w:sz w:val="18"/>
              </w:rPr>
              <w:t>P.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b/>
                <w:sz w:val="17"/>
              </w:rPr>
              <w:t>3.9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608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3175"/>
            <w:shd w:val="clear" w:fill="F2F2F2"/>
          </w:tcPr>
          <w:p>
            <w:r>
              <w:rPr>
                <w:b/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b/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3.9.1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Auto-diagnostic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10 questions fermées · niveau de risque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3.9.2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Informer ou consulter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Le piège central · mettre devant le fait accompli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Crim. 28 nov. 1995 · CA Versailles 11 sept. 2025 n°23/02689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3.9.3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Sanctions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Constitution : 1 an + 7 500 € · fonctionnement : 7 500 € · récidive doublée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L.2317-1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3.9.4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Voie civile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Référé-suspension du projet + dommages-intérêts — la voie réellement efficace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  <w:t>TJ Nanterre 14 fév. 2025</w:t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  <w:tr>
        <w:tc>
          <w:tcPr>
            <w:tcW w:type="dxa" w:w="907"/>
            <w:shd w:val="clear" w:fill="F2F2F2"/>
          </w:tcPr>
          <w:p>
            <w:r>
              <w:rPr>
                <w:sz w:val="17"/>
              </w:rPr>
              <w:t>3.9.5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  <w:t>Correctifs</w:t>
            </w:r>
          </w:p>
        </w:tc>
        <w:tc>
          <w:tcPr>
            <w:tcW w:type="dxa" w:w="2608"/>
            <w:shd w:val="clear" w:fill="F2F2F2"/>
          </w:tcPr>
          <w:p>
            <w:r>
              <w:rPr>
                <w:sz w:val="17"/>
              </w:rPr>
            </w:r>
          </w:p>
        </w:tc>
        <w:tc>
          <w:tcPr>
            <w:tcW w:type="dxa" w:w="5443"/>
            <w:shd w:val="clear" w:fill="F2F2F2"/>
          </w:tcPr>
          <w:p>
            <w:r>
              <w:rPr>
                <w:sz w:val="17"/>
              </w:rPr>
              <w:t>Que faire maintenant · régularisation</w:t>
            </w:r>
          </w:p>
        </w:tc>
        <w:tc>
          <w:tcPr>
            <w:tcW w:type="dxa" w:w="3175"/>
            <w:shd w:val="clear" w:fill="F2F2F2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510"/>
            <w:shd w:val="clear" w:fill="F2F2F2"/>
          </w:tcPr>
          <w:p>
            <w:r>
              <w:rPr>
                <w:sz w:val="17"/>
              </w:rPr>
              <w:t>1</w:t>
            </w:r>
          </w:p>
        </w:tc>
      </w:tr>
    </w:tbl>
    <w:p>
      <w:r>
        <w:br w:type="page"/>
      </w:r>
    </w:p>
    <w:p>
      <w:r>
        <w:rPr>
          <w:b/>
          <w:color w:val="1F3B57"/>
          <w:sz w:val="28"/>
        </w:rPr>
        <w:t>ORDRE DE RÉALISATION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13"/>
        <w:gridCol w:w="4713"/>
        <w:gridCol w:w="4713"/>
      </w:tblGrid>
      <w:tr>
        <w:tc>
          <w:tcPr>
            <w:tcW w:type="dxa" w:w="1020"/>
            <w:shd w:val="clear" w:fill="1F3B57"/>
          </w:tcPr>
          <w:p>
            <w:r/>
            <w:r>
              <w:rPr>
                <w:b/>
                <w:color w:val="FFFFFF"/>
                <w:sz w:val="19"/>
              </w:rPr>
              <w:t>Étape</w:t>
            </w:r>
          </w:p>
        </w:tc>
        <w:tc>
          <w:tcPr>
            <w:tcW w:type="dxa" w:w="4535"/>
            <w:shd w:val="clear" w:fill="1F3B57"/>
          </w:tcPr>
          <w:p>
            <w:r/>
            <w:r>
              <w:rPr>
                <w:b/>
                <w:color w:val="FFFFFF"/>
                <w:sz w:val="19"/>
              </w:rPr>
              <w:t>Bloc</w:t>
            </w:r>
          </w:p>
        </w:tc>
        <w:tc>
          <w:tcPr>
            <w:tcW w:type="dxa" w:w="8504"/>
            <w:shd w:val="clear" w:fill="1F3B57"/>
          </w:tcPr>
          <w:p>
            <w:r/>
            <w:r>
              <w:rPr>
                <w:b/>
                <w:color w:val="FFFFFF"/>
                <w:sz w:val="19"/>
              </w:rPr>
              <w:t>Pourquoi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Socle transverse (S)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Effectif, CCN et accord conditionnent tout le reste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2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Diagnostic (0) + aiguillage (1, 2)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Porte d'entrée : sans elle, aucun écran ne sait quoi afficher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Isolation du module Élections (E)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À faire avant, sinon il faudra démêler les dépendances après coup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4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Saisie initiale (3.0) + Mon CSE (3.1)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L'ossature : le client voit enfin ce qui le concerne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Calendrier (3.2)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L'apport le plus visible au quotidien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6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Réunions (3.3) + Réclamations (3.4)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Les deux usages quotidiens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Seuils (3.8) + Entrave (3.9)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La valeur préventive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Consultations (3.5) + Budgets (3.6)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Approfondissement</w:t>
            </w:r>
          </w:p>
        </w:tc>
      </w:tr>
      <w:tr>
        <w:tc>
          <w:tcPr>
            <w:tcW w:type="dxa" w:w="1020"/>
          </w:tcPr>
          <w:p>
            <w:r>
              <w:rPr>
                <w:b/>
                <w:sz w:val="19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sz w:val="19"/>
              </w:rPr>
              <w:t>Documents (3.7)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S'enrichit en continu</w:t>
            </w:r>
          </w:p>
        </w:tc>
      </w:tr>
    </w:tbl>
    <w:p/>
    <w:p>
      <w:r>
        <w:rPr>
          <w:b/>
          <w:sz w:val="22"/>
        </w:rPr>
        <w:t>Trois règles appliquées dans tous les sous-modules</w:t>
      </w:r>
    </w:p>
    <w:p>
      <w:pPr>
        <w:pStyle w:val="ListBullet"/>
      </w:pPr>
      <w:r>
        <w:t>Rien ne s'affiche qui ne concerne pas l'effectif du client.</w:t>
      </w:r>
    </w:p>
    <w:p>
      <w:pPr>
        <w:pStyle w:val="ListBullet"/>
      </w:pPr>
      <w:r>
        <w:t>L'accord d'entreprise prime, et les clauses inopposables sont signalées.</w:t>
      </w:r>
    </w:p>
    <w:p>
      <w:pPr>
        <w:pStyle w:val="ListBullet"/>
      </w:pPr>
      <w:r>
        <w:t>Chaque écran produit un document, jamais un cours.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