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i w:val="0"/>
          <w:color w:val="1F3B57"/>
          <w:sz w:val="40"/>
        </w:rPr>
        <w:t>PRÉVENTION DU HARCÈLEMENT MORAL ET SEXUEL</w:t>
      </w:r>
    </w:p>
    <w:p>
      <w:pPr>
        <w:spacing w:before="0" w:after="600"/>
        <w:jc w:val="center"/>
      </w:pPr>
      <w:r>
        <w:rPr>
          <w:b w:val="0"/>
          <w:i/>
          <w:color w:val="A0842E"/>
          <w:sz w:val="28"/>
        </w:rPr>
        <w:t>Programmes de formation et d’information</w:t>
      </w:r>
    </w:p>
    <w:p>
      <w:pPr>
        <w:spacing w:after="160"/>
        <w:pBdr>
          <w:bottom w:val="single" w:sz="8" w:color="C9A84C"/>
        </w:pBdr>
      </w:pPr>
    </w:p>
    <w:p>
      <w:pPr>
        <w:spacing w:before="200" w:after="160"/>
      </w:pPr>
      <w:r>
        <w:rPr>
          <w:b w:val="0"/>
          <w:i w:val="0"/>
          <w:sz w:val="22"/>
        </w:rPr>
        <w:t>Ce document contient les douze actions que l’employeur doit pouvoir prouver, et le contenu détaillé de chacune : ce qui est dit, pendant combien de temps, avec quel exercice, et ce qui est signé.</w:t>
      </w:r>
    </w:p>
    <w:p>
      <w:pPr>
        <w:spacing w:before="0" w:after="160"/>
      </w:pPr>
      <w:r>
        <w:rPr>
          <w:b w:val="0"/>
          <w:i w:val="0"/>
          <w:sz w:val="22"/>
        </w:rPr>
        <w:t>Il est construit sur une règle simple : depuis l’arrêt Air France du 25 novembre 2015 (n° 14-24.444), transposé au harcèlement moral le 1er juin 2016 (n° 14-19.702), l’employeur ne se dégage de sa responsabilité que s’il justifie CUMULATIVEMENT d’actions d’information et de formation menées en amont, et d’une réaction immédiate en aval. La seule procédure d’alerte inscrite au règlement intérieur ne suffit pas. L’enquête interne non plus : elle n’est même pas obligatoire en soi (Cass. soc., 12 juin 2024, n° 23-13.975).</w:t>
      </w:r>
    </w:p>
    <w:p>
      <w:pPr>
        <w:spacing w:before="0" w:after="600"/>
      </w:pPr>
      <w:r>
        <w:rPr>
          <w:b/>
          <w:i w:val="0"/>
          <w:sz w:val="22"/>
        </w:rPr>
        <w:t>Ce qui n’est pas prouvé n’a pas été fait. Chaque programme se termine donc par la liste des pièces qu’il produit, et par sa feuille d’émargement.</w:t>
      </w:r>
    </w:p>
    <w:p>
      <w:pPr>
        <w:spacing w:before="400" w:after="160"/>
      </w:pPr>
      <w:r>
        <w:rPr>
          <w:b w:val="0"/>
          <w:i w:val="0"/>
          <w:color w:val="555555"/>
          <w:sz w:val="21"/>
        </w:rPr>
        <w:t>Entreprise : ______________________________________</w:t>
      </w:r>
    </w:p>
    <w:p>
      <w:pPr>
        <w:spacing w:before="0" w:after="160"/>
      </w:pPr>
      <w:r>
        <w:rPr>
          <w:b w:val="0"/>
          <w:i w:val="0"/>
          <w:color w:val="555555"/>
          <w:sz w:val="21"/>
        </w:rPr>
        <w:t>Établi le : ________________     Par : ________________________</w:t>
      </w:r>
    </w:p>
    <w:p>
      <w:r>
        <w:br w:type="page"/>
      </w:r>
    </w:p>
    <w:p>
      <w:pPr>
        <w:spacing w:before="0" w:after="80"/>
      </w:pPr>
      <w:r>
        <w:rPr>
          <w:b/>
          <w:i w:val="0"/>
          <w:color w:val="1F3B57"/>
          <w:sz w:val="32"/>
        </w:rPr>
        <w:t>Le socle juridique, en une page</w:t>
      </w:r>
    </w:p>
    <w:p>
      <w:pPr>
        <w:spacing w:after="160"/>
        <w:pBdr>
          <w:bottom w:val="single" w:sz="8" w:color="C9A84C"/>
        </w:pBdr>
      </w:pPr>
    </w:p>
    <w:p>
      <w:pPr>
        <w:spacing w:before="120" w:after="80"/>
      </w:pPr>
      <w:r>
        <w:rPr>
          <w:b/>
          <w:i w:val="0"/>
          <w:color w:val="1F3B57"/>
          <w:sz w:val="25"/>
        </w:rPr>
        <w:t>Ce que la loi impose</w:t>
      </w:r>
    </w:p>
    <w:p>
      <w:pPr>
        <w:spacing w:before="0" w:after="120"/>
      </w:pPr>
      <w:r>
        <w:rPr>
          <w:b w:val="0"/>
          <w:i w:val="0"/>
          <w:sz w:val="21"/>
        </w:rPr>
        <w:t>Article L.4121-1. L’employeur prend les mesures nécessaires pour assurer la sécurité et protéger la santé physique et mentale des travailleurs. Ces mesures comprennent des actions de prévention, des actions d’information et de formation, et la mise en place d’une organisation et de moyens adaptés. Il veille à leur adaptation pour tenir compte du changement des circonstances.</w:t>
      </w:r>
    </w:p>
    <w:p>
      <w:pPr>
        <w:spacing w:before="0" w:after="120"/>
      </w:pPr>
      <w:r>
        <w:rPr>
          <w:b w:val="0"/>
          <w:i w:val="0"/>
          <w:sz w:val="21"/>
        </w:rPr>
        <w:t>Article L.4121-2. Neuf principes généraux de prévention. Le 7° vise expressément la planification de la prévention en y intégrant « les risques liés au harcèlement moral et au harcèlement sexuel, tels qu’ils sont définis aux articles L.1152-1 et L.1153-1, ainsi que ceux liés aux agissements sexistes définis à l’article L.1142-2-1 ».</w:t>
      </w:r>
    </w:p>
    <w:p>
      <w:pPr>
        <w:spacing w:before="240" w:after="80"/>
      </w:pPr>
      <w:r>
        <w:rPr>
          <w:b/>
          <w:i w:val="0"/>
          <w:color w:val="1F3B57"/>
          <w:sz w:val="25"/>
        </w:rPr>
        <w:t>Ce que la jurisprudence en tire</w:t>
      </w:r>
    </w:p>
    <w:p>
      <w:pPr>
        <w:spacing w:before="0" w:after="120"/>
      </w:pPr>
      <w:r>
        <w:rPr>
          <w:b w:val="0"/>
          <w:i w:val="0"/>
          <w:sz w:val="21"/>
        </w:rPr>
        <w:t>L’obligation de sécurité était de résultat : la responsabilité de l’employeur était engagée dès le constat du harcèlement, même s’il avait tout fait pour l’éviter. L’arrêt Air France (Cass. soc., 25 novembre 2015, n° 14-24.444) en a fait une obligation de moyens renforcée. La solution a été transposée au harcèlement moral l’année suivante (Cass. soc., 1er juin 2016, n° 14-19.702) : l’employeur s’exonère s’il démontre avoir satisfait à deux exigences — en amont, l’information et la formation ; en aval, une réaction adaptée dès qu’il est informé.</w:t>
      </w:r>
    </w:p>
    <w:p>
      <w:pPr>
        <w:spacing w:before="0" w:after="120"/>
      </w:pPr>
      <w:r>
        <w:rPr>
          <w:b/>
          <w:i w:val="0"/>
          <w:sz w:val="21"/>
        </w:rPr>
        <w:t>Le même arrêt précise que la seule introduction d’une procédure d’alerte dans le règlement intérieur, même mise en œuvre par la victime, est INSUFFISANTE à démontrer que toutes les mesures de prévention ont été prises.</w:t>
      </w:r>
    </w:p>
    <w:p>
      <w:pPr>
        <w:spacing w:before="240" w:after="80"/>
      </w:pPr>
      <w:r>
        <w:rPr>
          <w:b/>
          <w:i w:val="0"/>
          <w:color w:val="1F3B57"/>
          <w:sz w:val="25"/>
        </w:rPr>
        <w:t>Ce que cela change, concrètement</w:t>
      </w:r>
    </w:p>
    <w:p>
      <w:pPr>
        <w:spacing w:before="0" w:after="120"/>
      </w:pPr>
      <w:r>
        <w:rPr>
          <w:b w:val="0"/>
          <w:i w:val="0"/>
          <w:sz w:val="21"/>
        </w:rPr>
        <w:t>La question n’est plus « avez-vous réagi ? » mais « que pouvez-vous produire de ce que vous avez fait AVANT ? ». Un programme daté, une feuille d’émargement signée, un support remis, un questionnaire corrigé : ce sont ces pièces qui exonèrent. Une action menée sans trace équivaut, devant le juge, à une action non menée.</w:t>
      </w:r>
    </w:p>
    <w:p>
      <w:pPr>
        <w:spacing w:before="0" w:after="120"/>
      </w:pPr>
      <w:r>
        <w:rPr>
          <w:b w:val="0"/>
          <w:i w:val="0"/>
          <w:sz w:val="21"/>
        </w:rPr>
        <w:t>Enfin, la charge de la preuve est aménagée (article L.1154-1) : le salarié présente des éléments de fait laissant supposer un harcèlement, et il revient ensuite à l’employeur de prouver que ses décisions reposent sur des éléments objectifs étrangers à tout harcèlement. C’est pourquoi le module d’objectivation des décisions, en formation de l’encadrement, n’est pas un supplément : c’est le cœur du dispositif.</w:t>
      </w:r>
    </w:p>
    <w:p>
      <w:r>
        <w:br w:type="page"/>
      </w:r>
    </w:p>
    <w:p>
      <w:pPr>
        <w:spacing w:before="0" w:after="80"/>
      </w:pPr>
      <w:r>
        <w:rPr>
          <w:b/>
          <w:i w:val="0"/>
          <w:color w:val="1F3B57"/>
          <w:sz w:val="32"/>
        </w:rPr>
        <w:t>Programme 1 — Dirigeants et encadrement</w:t>
      </w:r>
    </w:p>
    <w:p>
      <w:pPr>
        <w:spacing w:after="160"/>
        <w:pBdr>
          <w:bottom w:val="single" w:sz="8" w:color="C9A84C"/>
        </w:pBdr>
      </w:pPr>
    </w:p>
    <w:p>
      <w:pPr>
        <w:spacing w:before="0" w:after="120"/>
      </w:pPr>
      <w:r>
        <w:rPr>
          <w:b/>
          <w:i w:val="0"/>
          <w:sz w:val="21"/>
        </w:rPr>
        <w:t>Public : toute personne exerçant une autorité hiérarchique, sans exception — y compris les chefs d’équipe, les tuteurs et les responsables de projet.</w:t>
      </w:r>
    </w:p>
    <w:p>
      <w:pPr>
        <w:spacing w:before="0" w:after="120"/>
      </w:pPr>
      <w:r>
        <w:rPr>
          <w:b/>
          <w:i w:val="0"/>
          <w:sz w:val="21"/>
        </w:rPr>
        <w:t>Durée : une journée, sept heures. Rappel de deux heures tous les deux ans.</w:t>
      </w:r>
    </w:p>
    <w:p>
      <w:pPr>
        <w:spacing w:before="0" w:after="120"/>
      </w:pPr>
      <w:r>
        <w:rPr>
          <w:b/>
          <w:i w:val="0"/>
          <w:sz w:val="21"/>
        </w:rPr>
        <w:t>Effectif par session : douze à quinze participants au maximum. Au-delà, les mises en situation ne fonctionnent plus.</w:t>
      </w:r>
    </w:p>
    <w:p>
      <w:pPr>
        <w:spacing w:before="160" w:after="200"/>
      </w:pPr>
      <w:r>
        <w:rPr>
          <w:b w:val="0"/>
          <w:i w:val="0"/>
          <w:sz w:val="21"/>
        </w:rPr>
        <w:t>Objectif. C’est la formation qui exonère. La Cour de cassation invite les juges à rechercher si l’employeur avait mis en œuvre des actions d’information et de formation propres à prévenir la survenance de faits de harcèlement moral. Sans elle, tout le reste tombe.</w:t>
      </w:r>
    </w:p>
    <w:p>
      <w:pPr>
        <w:spacing w:before="200" w:after="40"/>
      </w:pPr>
      <w:r>
        <w:rPr>
          <w:b/>
          <w:sz w:val="22"/>
        </w:rPr>
        <w:t>Module 1 — La définition, et les trois pièges qu’elle contient</w:t>
      </w:r>
      <w:r>
        <w:rPr>
          <w:b/>
          <w:color w:val="A0842E"/>
          <w:sz w:val="19"/>
        </w:rPr>
        <w:t xml:space="preserve">   45 min</w:t>
      </w:r>
    </w:p>
    <w:p>
      <w:pPr>
        <w:spacing w:before="0" w:after="100"/>
      </w:pPr>
      <w:r>
        <w:rPr>
          <w:b w:val="0"/>
          <w:i w:val="0"/>
          <w:sz w:val="21"/>
        </w:rPr>
        <w:t>Lecture commentée de l’article L.1152-1 : des agissements RÉPÉTÉS, qui ont pour OBJET OU POUR EFFET une dégradation des conditions de travail SUSCEPTIBLE de porter atteinte aux droits et à la dignité, d’altérer la santé physique ou mentale, ou de compromettre l’avenir professionnel.</w:t>
      </w:r>
    </w:p>
    <w:p>
      <w:pPr>
        <w:spacing w:before="0" w:after="100"/>
      </w:pPr>
      <w:r>
        <w:rPr>
          <w:b w:val="0"/>
          <w:i w:val="0"/>
          <w:sz w:val="21"/>
        </w:rPr>
        <w:t>Premier piège — « répétés » n’exige pas des faits de nature différente. Exiger des agissements de nature différente ajoute à la loi une condition qu’elle ne comporte pas : un même fait, répété dans le temps, suffit (Cass. crim., 26 janvier 2016, n° 14-80.455). À défaut de répétition d’un fait unique, deux faits distincts suffisent (Cass. soc., 11 mars 2025, n° 23-16.415). Seul le fait survenu une seule fois est exclu (Cass. soc., 22 janvier 2014, n° 12-29.131).</w:t>
      </w:r>
    </w:p>
    <w:p>
      <w:pPr>
        <w:spacing w:before="0" w:after="100"/>
      </w:pPr>
      <w:r>
        <w:rPr>
          <w:b w:val="0"/>
          <w:i w:val="0"/>
          <w:sz w:val="21"/>
        </w:rPr>
        <w:t>Deuxième piège — la durée n’est pas une condition. Le harcèlement a été retenu sur dix-sept jours (Cass. soc., 6 avril 2011, n° 09-71.170).</w:t>
      </w:r>
    </w:p>
    <w:p>
      <w:pPr>
        <w:spacing w:before="0" w:after="100"/>
      </w:pPr>
      <w:r>
        <w:rPr>
          <w:b w:val="0"/>
          <w:i w:val="0"/>
          <w:sz w:val="21"/>
        </w:rPr>
        <w:t>Troisième piège — l’atteinte n’a pas à être réalisée. Le texte dit « susceptible ». Ni la dégradation effective des conditions de travail ni l’altération avérée de la santé ne sont exigées (Cass. soc., 11 mars 2025, n° 23-16.415).</w:t>
      </w:r>
    </w:p>
    <w:p>
      <w:pPr>
        <w:spacing w:after="100"/>
      </w:pPr>
      <w:r>
        <w:rPr>
          <w:b/>
          <w:color w:val="B23B3B"/>
          <w:sz w:val="20"/>
        </w:rPr>
        <w:t xml:space="preserve">Le piège. </w:t>
      </w:r>
      <w:r>
        <w:rPr>
          <w:sz w:val="20"/>
        </w:rPr>
        <w:t>« Ça n’a duré que trois semaines » et « elle n’a jamais été en arrêt » ne sont pas des moyens de défense. Ce sont deux erreurs classiques d’encadrants, et deux aveux.</w:t>
      </w:r>
    </w:p>
    <w:p>
      <w:pPr>
        <w:spacing w:before="200" w:after="40"/>
      </w:pPr>
      <w:r>
        <w:rPr>
          <w:b/>
          <w:sz w:val="22"/>
        </w:rPr>
        <w:t>Module 2 — L’intention ne compte pas</w:t>
      </w:r>
      <w:r>
        <w:rPr>
          <w:b/>
          <w:color w:val="A0842E"/>
          <w:sz w:val="19"/>
        </w:rPr>
        <w:t xml:space="preserve">   30 min</w:t>
      </w:r>
    </w:p>
    <w:p>
      <w:pPr>
        <w:spacing w:before="0" w:after="100"/>
      </w:pPr>
      <w:r>
        <w:rPr>
          <w:b w:val="0"/>
          <w:i w:val="0"/>
          <w:sz w:val="21"/>
        </w:rPr>
        <w:t>On peut harceler sans le vouloir. L’intention de nuire n’est pas exigée pour caractériser le harcèlement moral (Cass. soc., 10 novembre 2009, n° 08-41.497). Un encadrant convaincu de bien faire, qui met la pression « pour le bien du service » ou « parce qu’elle a besoin d’être recadrée », peut être l’auteur de faits de harcèlement.</w:t>
      </w:r>
    </w:p>
    <w:p>
      <w:pPr>
        <w:spacing w:before="0" w:after="100"/>
      </w:pPr>
      <w:r>
        <w:rPr>
          <w:b w:val="0"/>
          <w:i w:val="0"/>
          <w:sz w:val="21"/>
        </w:rPr>
        <w:t>Ce module est le plus difficile à faire admettre et le plus important. Il faut y consacrer le temps nécessaire, y compris pour laisser s’exprimer les objections — « alors on ne peut plus rien dire » — et y répondre par le module 4, sur ce que les juges écartent.</w:t>
      </w:r>
    </w:p>
    <w:p>
      <w:pPr>
        <w:spacing w:before="0" w:after="100"/>
      </w:pPr>
      <w:r>
        <w:rPr>
          <w:b w:val="0"/>
          <w:i w:val="0"/>
          <w:sz w:val="21"/>
        </w:rPr>
        <w:t>Corollaire : aucun lien de subordination n’est requis. L’auteur peut être l’employeur, un supérieur, un collègue, voire une personne étrangère à l’entreprise (Cass. soc., 1er mars 2011, n° 09-69.616). L’encadrant qui laisse une équipe organiser la mise à l’écart d’un collègue est en cause au titre de son obligation de sécurité.</w:t>
      </w:r>
    </w:p>
    <w:p>
      <w:pPr>
        <w:spacing w:before="200" w:after="40"/>
      </w:pPr>
      <w:r>
        <w:rPr>
          <w:b/>
          <w:sz w:val="22"/>
        </w:rPr>
        <w:t>Module 3 — Ce que les juges retiennent</w:t>
      </w:r>
      <w:r>
        <w:rPr>
          <w:b/>
          <w:color w:val="A0842E"/>
          <w:sz w:val="19"/>
        </w:rPr>
        <w:t xml:space="preserve">   1 h 30, sur cas réels</w:t>
      </w:r>
    </w:p>
    <w:p>
      <w:pPr>
        <w:spacing w:before="0" w:after="100"/>
      </w:pPr>
      <w:r>
        <w:rPr>
          <w:b w:val="0"/>
          <w:i w:val="0"/>
          <w:sz w:val="21"/>
        </w:rPr>
        <w:t>Neuf cas, distribués sur fiche, discutés en sous-groupes puis restitués. Pour chacun : les faits, la décision, et ce que l’encadrant aurait dû faire.</w:t>
      </w:r>
    </w:p>
    <w:p>
      <w:pPr>
        <w:spacing w:before="0" w:after="100"/>
      </w:pPr>
      <w:r>
        <w:rPr>
          <w:b w:val="0"/>
          <w:i w:val="0"/>
          <w:sz w:val="21"/>
        </w:rPr>
        <w:t>1. Mutation irrégulière avec changement de résidence, puis poste de chargé de mission peu à peu vidé de son contenu (Cass. soc., 3 décembre 2008, n° 07-41.491).</w:t>
      </w:r>
    </w:p>
    <w:p>
      <w:pPr>
        <w:spacing w:before="0" w:after="100"/>
      </w:pPr>
      <w:r>
        <w:rPr>
          <w:b w:val="0"/>
          <w:i w:val="0"/>
          <w:sz w:val="21"/>
        </w:rPr>
        <w:t>2. Refus de laisser reprendre le travail au retour de congé maternité, retrait de responsabilités et mise à pied injustifiée de huit jours (Cass. soc., 7 juillet 2009, n° 07-44.590).</w:t>
      </w:r>
    </w:p>
    <w:p>
      <w:pPr>
        <w:spacing w:before="0" w:after="100"/>
      </w:pPr>
      <w:r>
        <w:rPr>
          <w:b w:val="0"/>
          <w:i w:val="0"/>
          <w:sz w:val="21"/>
        </w:rPr>
        <w:t>3. Changements quotidiens de tâches et interdiction faite aux autres salariés de lui adresser la parole (Cass. soc., 6 avril 2011, n° 09-71.170).</w:t>
      </w:r>
    </w:p>
    <w:p>
      <w:pPr>
        <w:spacing w:before="0" w:after="100"/>
      </w:pPr>
      <w:r>
        <w:rPr>
          <w:b w:val="0"/>
          <w:i w:val="0"/>
          <w:sz w:val="21"/>
        </w:rPr>
        <w:t>4. Affectation dans un local exigu, sans chauffage correct, sans outils de travail, isolé des collègues, avec des réflexions mettant en doute son équilibre psychologique (Cass. soc., 29 juin 2005, n° 03-44.055).</w:t>
      </w:r>
    </w:p>
    <w:p>
      <w:pPr>
        <w:spacing w:before="0" w:after="100"/>
      </w:pPr>
      <w:r>
        <w:rPr>
          <w:b w:val="0"/>
          <w:i w:val="0"/>
          <w:sz w:val="21"/>
        </w:rPr>
        <w:t>5. Plus aucun travail fourni pendant plus de deux ans, avec obligation de se présenter chaque jour dans les locaux d’une société tierce (Cass. soc., 19 octobre 2010, n° 09-42.391).</w:t>
      </w:r>
    </w:p>
    <w:p>
      <w:pPr>
        <w:spacing w:before="0" w:after="100"/>
      </w:pPr>
      <w:r>
        <w:rPr>
          <w:b w:val="0"/>
          <w:i w:val="0"/>
          <w:sz w:val="21"/>
        </w:rPr>
        <w:t>6. Mise à l’écart organisée par six collègues d’une aide-soignante après un aménagement de planning perçu comme un privilège (Cass. crim., 26 janvier 2016, n° 14-80.455).</w:t>
      </w:r>
    </w:p>
    <w:p>
      <w:pPr>
        <w:spacing w:before="0" w:after="100"/>
      </w:pPr>
      <w:r>
        <w:rPr>
          <w:b w:val="0"/>
          <w:i w:val="0"/>
          <w:sz w:val="21"/>
        </w:rPr>
        <w:t>7. Avertissement injustifié et absence de consultation de la salariée sur la fixation de ses congés, l’employeur ne justifiant pas que ces faits étaient étrangers à tout harcèlement (Cass. soc., 11 mars 2025, n° 23-16.415).</w:t>
      </w:r>
    </w:p>
    <w:p>
      <w:pPr>
        <w:spacing w:before="0" w:after="100"/>
      </w:pPr>
      <w:r>
        <w:rPr>
          <w:b w:val="0"/>
          <w:i w:val="0"/>
          <w:sz w:val="21"/>
        </w:rPr>
        <w:t>8. Absence d’aide de l’équipe, privation des moyens de travail, suppression de l’accès au répertoire ressources (Cass. soc., 11 mars 2026, n° 24-21.502).</w:t>
      </w:r>
    </w:p>
    <w:p>
      <w:pPr>
        <w:spacing w:before="0" w:after="100"/>
      </w:pPr>
      <w:r>
        <w:rPr>
          <w:b w:val="0"/>
          <w:i w:val="0"/>
          <w:sz w:val="21"/>
        </w:rPr>
        <w:t>9. Pressions exercées pour faire accepter une rupture conventionnelle (Cass. soc., 10 juillet 2024, n° 23-14.900).</w:t>
      </w:r>
    </w:p>
    <w:p>
      <w:pPr>
        <w:spacing w:after="100"/>
      </w:pPr>
      <w:r>
        <w:rPr>
          <w:b/>
          <w:color w:val="A0842E"/>
          <w:sz w:val="20"/>
        </w:rPr>
        <w:t xml:space="preserve">Exercice. </w:t>
      </w:r>
      <w:r>
        <w:rPr>
          <w:sz w:val="20"/>
        </w:rPr>
        <w:t>Chaque sous-groupe reçoit trois cas sans la solution. Il doit dire s’il retiendrait le harcèlement et pourquoi. La restitution confronte les réponses à la décision réelle.</w:t>
      </w:r>
    </w:p>
    <w:p>
      <w:pPr>
        <w:spacing w:before="200" w:after="40"/>
      </w:pPr>
      <w:r>
        <w:rPr>
          <w:b/>
          <w:sz w:val="22"/>
        </w:rPr>
        <w:t>Module 4 — Ce que les juges écartent</w:t>
      </w:r>
      <w:r>
        <w:rPr>
          <w:b/>
          <w:color w:val="A0842E"/>
          <w:sz w:val="19"/>
        </w:rPr>
        <w:t xml:space="preserve">   45 min</w:t>
      </w:r>
    </w:p>
    <w:p>
      <w:pPr>
        <w:spacing w:before="0" w:after="100"/>
      </w:pPr>
      <w:r>
        <w:rPr>
          <w:b w:val="0"/>
          <w:i w:val="0"/>
          <w:sz w:val="21"/>
        </w:rPr>
        <w:t>C’est la réponse à l’objection « on ne peut plus rien dire ». La jurisprudence distingue le harcèlement des décisions de gestion légitimes : évaluer, réorganiser, sanctionner à bon droit ne sont pas des actes de harcèlement, dès lors que ces décisions reposent sur des éléments objectifs.</w:t>
      </w:r>
    </w:p>
    <w:p>
      <w:pPr>
        <w:spacing w:before="0" w:after="100"/>
      </w:pPr>
      <w:r>
        <w:rPr>
          <w:b w:val="0"/>
          <w:i w:val="0"/>
          <w:sz w:val="21"/>
        </w:rPr>
        <w:t>1. Deux sanctions disciplinaires en un mois, même irrégulières, ne constituent pas en soi un harcèlement (Cass. soc., 16 juin 2004, n° 02-41.795).</w:t>
      </w:r>
    </w:p>
    <w:p>
      <w:pPr>
        <w:spacing w:before="0" w:after="100"/>
      </w:pPr>
      <w:r>
        <w:rPr>
          <w:b w:val="0"/>
          <w:i w:val="0"/>
          <w:sz w:val="21"/>
        </w:rPr>
        <w:t>2. Le fait unique, non répété, est exclu de la qualification (Cass. soc., 22 janvier 2014, n° 12-29.131).</w:t>
      </w:r>
    </w:p>
    <w:p>
      <w:pPr>
        <w:spacing w:before="0" w:after="100"/>
      </w:pPr>
      <w:r>
        <w:rPr>
          <w:b w:val="0"/>
          <w:i w:val="0"/>
          <w:sz w:val="21"/>
        </w:rPr>
        <w:t>3. Des accusations générales, des tracts critiques et une attestation ne suffisent pas : il faut des faits précis, datés et concordants. Le simple ressenti ou des affirmations vagues ne franchissent pas le seuil de la présomption (Cass. soc., 9 juin 2010, n° 09-40.544).</w:t>
      </w:r>
    </w:p>
    <w:p>
      <w:pPr>
        <w:spacing w:before="0" w:after="100"/>
      </w:pPr>
      <w:r>
        <w:rPr>
          <w:b w:val="0"/>
          <w:i w:val="0"/>
          <w:sz w:val="21"/>
        </w:rPr>
        <w:t>4. Une mésentente réciproque entre collègues n’est pas un harcèlement : la qualification suppose que la responsabilité de chacun soit clairement établie, et non un conflit aux torts partagés (Cass. soc., 4 novembre 2015, n° 14-12.281).</w:t>
      </w:r>
    </w:p>
    <w:p>
      <w:pPr>
        <w:spacing w:after="100"/>
      </w:pPr>
      <w:r>
        <w:rPr>
          <w:b/>
          <w:color w:val="B23B3B"/>
          <w:sz w:val="20"/>
        </w:rPr>
        <w:t xml:space="preserve">Le piège. </w:t>
      </w:r>
      <w:r>
        <w:rPr>
          <w:sz w:val="20"/>
        </w:rPr>
        <w:t>Cette limite n’est pas un permis. Elle ne joue que si les décisions sont objectivées — c’est-à-dire écrites, motivées, datées. Sans trace, la limite ne protège personne.</w:t>
      </w:r>
    </w:p>
    <w:p>
      <w:pPr>
        <w:spacing w:before="200" w:after="40"/>
      </w:pPr>
      <w:r>
        <w:rPr>
          <w:b/>
          <w:sz w:val="22"/>
        </w:rPr>
        <w:t>Module 5 — Le harcèlement managérial et institutionnel</w:t>
      </w:r>
      <w:r>
        <w:rPr>
          <w:b/>
          <w:color w:val="A0842E"/>
          <w:sz w:val="19"/>
        </w:rPr>
        <w:t xml:space="preserve">   45 min</w:t>
      </w:r>
    </w:p>
    <w:p>
      <w:pPr>
        <w:spacing w:before="0" w:after="100"/>
      </w:pPr>
      <w:r>
        <w:rPr>
          <w:b w:val="0"/>
          <w:i w:val="0"/>
          <w:sz w:val="21"/>
        </w:rPr>
        <w:t>Peuvent caractériser un harcèlement moral les méthodes de gestion mises en œuvre par un supérieur hiérarchique dès lors qu’elles se manifestent, pour un salarié déterminé, par des agissements répétés ayant pour objet ou pour effet d’entraîner une dégradation des conditions de travail (Cass. soc., 10 novembre 2009, n° 07-45.321). Dans cette affaire : pression continuelle, reproches incessants, ordres et contre-ordres dans l’intention de diviser l’équipe, se traduisant pour le demandeur par une mise à l’écart, un mépris affiché et une communication réduite à un tableau.</w:t>
      </w:r>
    </w:p>
    <w:p>
      <w:pPr>
        <w:spacing w:before="0" w:after="100"/>
      </w:pPr>
      <w:r>
        <w:rPr>
          <w:b w:val="0"/>
          <w:i w:val="0"/>
          <w:sz w:val="21"/>
        </w:rPr>
        <w:t>Le harcèlement institutionnel va plus loin : il se caractérise par des agissements visant à arrêter et mettre en œuvre, en connaissance de cause, une politique d’entreprise qui a pour objet ou pour effet de dégrader les conditions de travail de tout ou partie des salariés, aux fins de parvenir à une réduction des effectifs ou d’atteindre tout autre objectif managérial, économique ou financier (Cass. crim., 21 janvier 2025, n° 22-87.145).</w:t>
      </w:r>
    </w:p>
    <w:p>
      <w:pPr>
        <w:spacing w:before="0" w:after="100"/>
      </w:pPr>
      <w:r>
        <w:rPr>
          <w:b w:val="0"/>
          <w:i w:val="0"/>
          <w:sz w:val="21"/>
        </w:rPr>
        <w:t>Dans l’affaire France Télécom, les juges ont relevé la pression donnée au contrôle des départs à tous les niveaux de la chaîne hiérarchique, la prise en compte des départs dans la rémunération de l’encadrement, et le conditionnement de la hiérarchie intermédiaire lors des formations dispensées. La faute la plus importante, disent-ils, a été le passage d’un objectif indicatif à un objectif impératif à atteindre « coûte que coûte ».</w:t>
      </w:r>
    </w:p>
    <w:p>
      <w:pPr>
        <w:spacing w:after="100"/>
      </w:pPr>
      <w:r>
        <w:rPr>
          <w:b/>
          <w:color w:val="B23B3B"/>
          <w:sz w:val="20"/>
        </w:rPr>
        <w:t xml:space="preserve">Le piège. </w:t>
      </w:r>
      <w:r>
        <w:rPr>
          <w:sz w:val="20"/>
        </w:rPr>
        <w:t>Un objectif chiffré de départs, un classement des managers sur le nombre de ruptures obtenues, un discours de formation qui prépare à « accompagner la sortie » : ces trois éléments réunis suffisent à ouvrir un dossier pénal.</w:t>
      </w:r>
    </w:p>
    <w:p>
      <w:pPr>
        <w:spacing w:before="200" w:after="40"/>
      </w:pPr>
      <w:r>
        <w:rPr>
          <w:b/>
          <w:sz w:val="22"/>
        </w:rPr>
        <w:t>Module 6 — Objectiver ses décisions</w:t>
      </w:r>
      <w:r>
        <w:rPr>
          <w:b/>
          <w:color w:val="A0842E"/>
          <w:sz w:val="19"/>
        </w:rPr>
        <w:t xml:space="preserve">   1 h, exercice individuel puis collectif</w:t>
      </w:r>
    </w:p>
    <w:p>
      <w:pPr>
        <w:spacing w:before="0" w:after="100"/>
      </w:pPr>
      <w:r>
        <w:rPr>
          <w:b w:val="0"/>
          <w:i w:val="0"/>
          <w:sz w:val="21"/>
        </w:rPr>
        <w:t>Le régime de la preuve est aménagé : le salarié présente des éléments de fait laissant supposer l’existence d’un harcèlement, et il incombe alors à l’employeur de prouver que ces agissements ne sont pas constitutifs d’un harcèlement et que sa décision est justifiée par des éléments objectifs étrangers à tout harcèlement (article L.1154-1).</w:t>
      </w:r>
    </w:p>
    <w:p>
      <w:pPr>
        <w:spacing w:before="0" w:after="100"/>
      </w:pPr>
      <w:r>
        <w:rPr>
          <w:b w:val="0"/>
          <w:i w:val="0"/>
          <w:sz w:val="21"/>
        </w:rPr>
        <w:t>Ce que cela impose à l’encadrant : toute décision défavorable — refus de congé, changement d’affectation, retrait d’un dossier, évaluation basse, avertissement — doit pouvoir être justifiée par un élément objectif, écrit et daté, indépendant de la personne.</w:t>
      </w:r>
    </w:p>
    <w:p>
      <w:pPr>
        <w:spacing w:before="0" w:after="100"/>
      </w:pPr>
      <w:r>
        <w:rPr>
          <w:b w:val="0"/>
          <w:i w:val="0"/>
          <w:sz w:val="21"/>
        </w:rPr>
        <w:t>La méthode enseignée tient en quatre questions, à écrire avant de décider : quel est le fait objectif qui fonde ma décision ? où est-il tracé ? aurais-je pris la même décision pour un autre salarié ? qu’est-ce que le salarié pourra en dire ?</w:t>
      </w:r>
    </w:p>
    <w:p>
      <w:pPr>
        <w:spacing w:before="0" w:after="100"/>
      </w:pPr>
      <w:r>
        <w:rPr>
          <w:b w:val="0"/>
          <w:i w:val="0"/>
          <w:sz w:val="21"/>
        </w:rPr>
        <w:t>Et le juge apprécie les faits DANS LEUR ENSEMBLE. L’analyse fait par fait est censurée (Cass. soc., 11 mars 2026, n° 24-21.502). Un cumul de décisions anodines prises isolément peut caractériser un harcèlement : c’est l’accumulation qu’il faut surveiller, pas chaque décision prise à part.</w:t>
      </w:r>
    </w:p>
    <w:p>
      <w:pPr>
        <w:spacing w:after="100"/>
      </w:pPr>
      <w:r>
        <w:rPr>
          <w:b/>
          <w:color w:val="A0842E"/>
          <w:sz w:val="20"/>
        </w:rPr>
        <w:t xml:space="preserve">Exercice. </w:t>
      </w:r>
      <w:r>
        <w:rPr>
          <w:sz w:val="20"/>
        </w:rPr>
        <w:t>Chaque participant reprend trois décisions défavorables qu’il a prises dans les six derniers mois et écrit, pour chacune : le fait objectif, sa trace, et la phrase qu’il dirait au juge. Les cas les plus fragiles sont repris en collectif.</w:t>
      </w:r>
    </w:p>
    <w:p>
      <w:pPr>
        <w:spacing w:before="200" w:after="40"/>
      </w:pPr>
      <w:r>
        <w:rPr>
          <w:b/>
          <w:sz w:val="22"/>
        </w:rPr>
        <w:t>Module 7 — Recevoir un signalement</w:t>
      </w:r>
      <w:r>
        <w:rPr>
          <w:b/>
          <w:color w:val="A0842E"/>
          <w:sz w:val="19"/>
        </w:rPr>
        <w:t xml:space="preserve">   1 h, mises en situation</w:t>
      </w:r>
    </w:p>
    <w:p>
      <w:pPr>
        <w:spacing w:before="0" w:after="100"/>
      </w:pPr>
      <w:r>
        <w:rPr>
          <w:b w:val="0"/>
          <w:i w:val="0"/>
          <w:sz w:val="21"/>
        </w:rPr>
        <w:t>Ce qu’on fait : écouter sans interrompre, prendre des notes factuelles et datées, reformuler, dire ce qui va se passer et sous quel délai, transmettre immédiatement au référent et au service des ressources humaines, écrire le compte rendu le jour même.</w:t>
      </w:r>
    </w:p>
    <w:p>
      <w:pPr>
        <w:spacing w:before="0" w:after="100"/>
      </w:pPr>
      <w:r>
        <w:rPr>
          <w:b w:val="0"/>
          <w:i w:val="0"/>
          <w:sz w:val="21"/>
        </w:rPr>
        <w:t>Ce qu’on ne fait pas : minimiser (« vous êtes sûr que ce n’est pas un malentendu ? »), promettre le secret absolu, enquêter seul, confronter les parties, prévenir l’auteur présumé, en parler à l’équipe, ou attendre « de voir si ça se tasse ».</w:t>
      </w:r>
    </w:p>
    <w:p>
      <w:pPr>
        <w:spacing w:before="0" w:after="100"/>
      </w:pPr>
      <w:r>
        <w:rPr>
          <w:b w:val="0"/>
          <w:i w:val="0"/>
          <w:sz w:val="21"/>
        </w:rPr>
        <w:t>Point capital : le salarié n’a pas à employer le mot « harcèlement » pour que l’obligation d’agir se déclenche. C’est la révélation des faits qui l’enclenche, non les mots employés (Cass. soc., 8 janvier 2025, n° 23-19.996). « Je n’en peux plus de la manière dont il me parle » est un signalement.</w:t>
      </w:r>
    </w:p>
    <w:p>
      <w:pPr>
        <w:spacing w:before="0" w:after="100"/>
      </w:pPr>
      <w:r>
        <w:rPr>
          <w:b w:val="0"/>
          <w:i w:val="0"/>
          <w:sz w:val="21"/>
        </w:rPr>
        <w:t>Trois mises en situation jouées : le salarié qui minimise lui-même, le salarié qui accuse sans faits, le témoin qui parle à la place de la victime.</w:t>
      </w:r>
    </w:p>
    <w:p>
      <w:pPr>
        <w:spacing w:after="100"/>
      </w:pPr>
      <w:r>
        <w:rPr>
          <w:b/>
          <w:color w:val="B23B3B"/>
          <w:sz w:val="20"/>
        </w:rPr>
        <w:t xml:space="preserve">Le piège. </w:t>
      </w:r>
      <w:r>
        <w:rPr>
          <w:sz w:val="20"/>
        </w:rPr>
        <w:t>« Elle ne m’a jamais parlé de harcèlement » est le premier argument des employeurs, et celui qui tombe le plus souvent.</w:t>
      </w:r>
    </w:p>
    <w:p>
      <w:pPr>
        <w:spacing w:before="200" w:after="40"/>
      </w:pPr>
      <w:r>
        <w:rPr>
          <w:b/>
          <w:sz w:val="22"/>
        </w:rPr>
        <w:t>Module 8 — Les conséquences, chiffrées</w:t>
      </w:r>
      <w:r>
        <w:rPr>
          <w:b/>
          <w:color w:val="A0842E"/>
          <w:sz w:val="19"/>
        </w:rPr>
        <w:t xml:space="preserve">   30 min</w:t>
      </w:r>
    </w:p>
    <w:p>
      <w:pPr>
        <w:spacing w:before="0" w:after="100"/>
      </w:pPr>
      <w:r>
        <w:rPr>
          <w:b w:val="0"/>
          <w:i w:val="0"/>
          <w:sz w:val="21"/>
        </w:rPr>
        <w:t>Pour l’entreprise. Si le licenciement est fondé sur le harcèlement subi, refusé ou dénoncé, il est NUL (article L.1152-3). Le salarié choisit alors entre la réintégration — avec rappel de l’intégralité des salaires jusqu’à la réintégration effective — et une indemnité qui ne peut être inférieure à six mois de salaire, SANS PLAFOND : le barème de l’article L.1235-3 ne s’applique pas.</w:t>
      </w:r>
    </w:p>
    <w:p>
      <w:pPr>
        <w:spacing w:before="0" w:after="100"/>
      </w:pPr>
      <w:r>
        <w:rPr>
          <w:b w:val="0"/>
          <w:i w:val="0"/>
          <w:sz w:val="21"/>
        </w:rPr>
        <w:t>S’y ajoutent, de manière distincte et cumulable, des dommages-intérêts réparant le préjudice subi du seul fait des agissements de harcèlement (Cass. soc., 1er juin 2023, n° 21-23.438).</w:t>
      </w:r>
    </w:p>
    <w:p>
      <w:pPr>
        <w:spacing w:before="0" w:after="100"/>
      </w:pPr>
      <w:r>
        <w:rPr>
          <w:b w:val="0"/>
          <w:i w:val="0"/>
          <w:sz w:val="21"/>
        </w:rPr>
        <w:t>Mais — et c’est ce qui sauve les dossiers — la nullité suppose un lien : l’existence du harcèlement ne suffit pas, il faut que le licenciement ait été prononcé POUR avoir subi, refusé de subir ou dénoncé ces agissements (Cass. soc., 9 avril 2025, n° 24-11.421 ; Cass. soc., 6 mai 2025, n° 23-22.588). D’où la règle enseignée au module 6 : documenter le motif, séparément et à l’avance.</w:t>
      </w:r>
    </w:p>
    <w:p>
      <w:pPr>
        <w:spacing w:before="0" w:after="100"/>
      </w:pPr>
      <w:r>
        <w:rPr>
          <w:b w:val="0"/>
          <w:i w:val="0"/>
          <w:sz w:val="21"/>
        </w:rPr>
        <w:t>Pour l’auteur personnellement. Le harcèlement moral est puni de deux ans d’emprisonnement et de 30 000 € d’amende (article 222-33-2 du code pénal). La sanction disciplinaire, jusqu’au licenciement pour faute grave, est encourue indépendamment.</w:t>
      </w:r>
    </w:p>
    <w:p>
      <w:pPr>
        <w:spacing w:after="100"/>
      </w:pPr>
      <w:r>
        <w:rPr>
          <w:b/>
          <w:color w:val="B23B3B"/>
          <w:sz w:val="20"/>
        </w:rPr>
        <w:t xml:space="preserve">Le piège. </w:t>
      </w:r>
      <w:r>
        <w:rPr>
          <w:sz w:val="20"/>
        </w:rPr>
        <w:t>Un manager qui apprend au module 8 qu’il risque personnellement le pénal écoute différemment les modules 1 à 7. C’est pour cela qu’on ne le place pas en premier.</w:t>
      </w:r>
    </w:p>
    <w:p>
      <w:pPr>
        <w:spacing w:before="200" w:after="40"/>
      </w:pPr>
      <w:r>
        <w:rPr>
          <w:b/>
          <w:sz w:val="22"/>
        </w:rPr>
        <w:t>Module 9 — Évaluation</w:t>
      </w:r>
      <w:r>
        <w:rPr>
          <w:b/>
          <w:color w:val="A0842E"/>
          <w:sz w:val="19"/>
        </w:rPr>
        <w:t xml:space="preserve">   15 min</w:t>
      </w:r>
    </w:p>
    <w:p>
      <w:pPr>
        <w:spacing w:before="0" w:after="100"/>
      </w:pPr>
      <w:r>
        <w:rPr>
          <w:b w:val="0"/>
          <w:i w:val="0"/>
          <w:sz w:val="21"/>
        </w:rPr>
        <w:t>Un questionnaire de dix situations à qualifier : harcèlement, pas harcèlement, ou « il manque un élément — lequel ? ». Correction immédiate et commentée.</w:t>
      </w:r>
    </w:p>
    <w:p>
      <w:pPr>
        <w:spacing w:before="0" w:after="100"/>
      </w:pPr>
      <w:r>
        <w:rPr>
          <w:b w:val="0"/>
          <w:i w:val="0"/>
          <w:sz w:val="21"/>
        </w:rPr>
        <w:t>Le questionnaire corrigé est conservé et versé au dossier de preuve. Il établit que la formation a été SUIVIE, et pas seulement dispensée — nuance qui compte quand l’employeur doit démontrer l’effectivité de ses actions.</w:t>
      </w:r>
    </w:p>
    <w:p>
      <w:pPr>
        <w:spacing w:before="240" w:after="80"/>
      </w:pPr>
      <w:r>
        <w:rPr>
          <w:b/>
          <w:i w:val="0"/>
          <w:color w:val="1F3B57"/>
          <w:sz w:val="25"/>
        </w:rPr>
        <w:t>Ce que l’action produit — les pièces à conserver</w:t>
      </w:r>
    </w:p>
    <w:p>
      <w:pPr>
        <w:pStyle w:val="ListBullet"/>
        <w:spacing w:after="40"/>
      </w:pPr>
      <w:r>
        <w:rPr>
          <w:sz w:val="20"/>
        </w:rPr>
        <w:t>Programme daté et signé par l’intervenant</w:t>
      </w:r>
    </w:p>
    <w:p>
      <w:pPr>
        <w:pStyle w:val="ListBullet"/>
        <w:spacing w:after="40"/>
      </w:pPr>
      <w:r>
        <w:rPr>
          <w:sz w:val="20"/>
        </w:rPr>
        <w:t>Feuille d’émargement par demi-journée</w:t>
      </w:r>
    </w:p>
    <w:p>
      <w:pPr>
        <w:pStyle w:val="ListBullet"/>
        <w:spacing w:after="40"/>
      </w:pPr>
      <w:r>
        <w:rPr>
          <w:sz w:val="20"/>
        </w:rPr>
        <w:t>Support remis à chaque participant, daté</w:t>
      </w:r>
    </w:p>
    <w:p>
      <w:pPr>
        <w:pStyle w:val="ListBullet"/>
        <w:spacing w:after="40"/>
      </w:pPr>
      <w:r>
        <w:rPr>
          <w:sz w:val="20"/>
        </w:rPr>
        <w:t>Questionnaire d’évaluation corrigé, nominatif</w:t>
      </w:r>
    </w:p>
    <w:p>
      <w:pPr>
        <w:pStyle w:val="ListBullet"/>
        <w:spacing w:after="40"/>
      </w:pPr>
      <w:r>
        <w:rPr>
          <w:sz w:val="20"/>
        </w:rPr>
        <w:t>Attestation individuelle de formation</w:t>
      </w:r>
    </w:p>
    <w:p>
      <w:pPr>
        <w:pStyle w:val="ListBullet"/>
        <w:spacing w:after="40"/>
      </w:pPr>
      <w:r>
        <w:rPr>
          <w:sz w:val="20"/>
        </w:rPr>
        <w:t>Liste des encadrants convoqués et des absents, avec la date de leur rattrapage</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Programme 2 — Les référents</w:t>
      </w:r>
    </w:p>
    <w:p>
      <w:pPr>
        <w:spacing w:after="160"/>
        <w:pBdr>
          <w:bottom w:val="single" w:sz="8" w:color="C9A84C"/>
        </w:pBdr>
      </w:pPr>
    </w:p>
    <w:p>
      <w:pPr>
        <w:spacing w:before="0" w:after="120"/>
      </w:pPr>
      <w:r>
        <w:rPr>
          <w:b/>
          <w:i w:val="0"/>
          <w:sz w:val="21"/>
        </w:rPr>
        <w:t>Public : le référent désigné par le comité social et économique (article L.2314-1), le référent désigné par l’employeur dans les entreprises d’au moins deux cent cinquante salariés (article L.1153-5-1), et les membres de la commission santé, sécurité et conditions de travail lorsqu’elle existe.</w:t>
      </w:r>
    </w:p>
    <w:p>
      <w:pPr>
        <w:spacing w:before="0" w:after="120"/>
      </w:pPr>
      <w:r>
        <w:rPr>
          <w:b/>
          <w:i w:val="0"/>
          <w:sz w:val="21"/>
        </w:rPr>
        <w:t>Durée : deux jours, quatorze heures.</w:t>
      </w:r>
    </w:p>
    <w:p>
      <w:pPr>
        <w:spacing w:before="160" w:after="200"/>
      </w:pPr>
      <w:r>
        <w:rPr>
          <w:b w:val="0"/>
          <w:i w:val="0"/>
          <w:sz w:val="21"/>
        </w:rPr>
        <w:t>Objectif. Le référent est le point d’entrée. Mal formé, il devient le premier vice de procédure : promesse de confidentialité intenable, enquête bâclée, notes non datées, victime déplacée. Ce programme reprend le socle de la formation de l’encadrement, puis ajoute ce qui lui est propre.</w:t>
      </w:r>
    </w:p>
    <w:p>
      <w:pPr>
        <w:spacing w:before="200" w:after="40"/>
      </w:pPr>
      <w:r>
        <w:rPr>
          <w:b/>
          <w:sz w:val="22"/>
        </w:rPr>
        <w:t>Module 1 — Le cadre juridique</w:t>
      </w:r>
      <w:r>
        <w:rPr>
          <w:b/>
          <w:color w:val="A0842E"/>
          <w:sz w:val="19"/>
        </w:rPr>
        <w:t xml:space="preserve">   3 h</w:t>
      </w:r>
    </w:p>
    <w:p>
      <w:pPr>
        <w:spacing w:before="0" w:after="100"/>
      </w:pPr>
      <w:r>
        <w:rPr>
          <w:b w:val="0"/>
          <w:i w:val="0"/>
          <w:sz w:val="21"/>
        </w:rPr>
        <w:t>Reprise intégrale des modules 1 à 5 et 8 du programme de l’encadrement : définition et ses trois pièges, l’intention qui ne compte pas, ce que les juges retiennent, ce qu’ils écartent, le harcèlement managérial et institutionnel, les conséquences chiffrées.</w:t>
      </w:r>
    </w:p>
    <w:p>
      <w:pPr>
        <w:spacing w:before="0" w:after="100"/>
      </w:pPr>
      <w:r>
        <w:rPr>
          <w:b w:val="0"/>
          <w:i w:val="0"/>
          <w:sz w:val="21"/>
        </w:rPr>
        <w:t>Ajout propre au référent : le périmètre de sa mission. Il oriente, informe et accompagne. Il n’arbitre pas, ne qualifie pas juridiquement, ne décide pas de la sanction. Confondre le référent et l’enquêteur est la première erreur, et elle se paie au contentieux.</w:t>
      </w:r>
    </w:p>
    <w:p>
      <w:pPr>
        <w:spacing w:before="200" w:after="40"/>
      </w:pPr>
      <w:r>
        <w:rPr>
          <w:b/>
          <w:sz w:val="22"/>
        </w:rPr>
        <w:t>Module 2 — Recevoir la parole</w:t>
      </w:r>
      <w:r>
        <w:rPr>
          <w:b/>
          <w:color w:val="A0842E"/>
          <w:sz w:val="19"/>
        </w:rPr>
        <w:t xml:space="preserve">   3 h</w:t>
      </w:r>
    </w:p>
    <w:p>
      <w:pPr>
        <w:spacing w:before="0" w:after="100"/>
      </w:pPr>
      <w:r>
        <w:rPr>
          <w:b w:val="0"/>
          <w:i w:val="0"/>
          <w:sz w:val="21"/>
        </w:rPr>
        <w:t>Conduire un entretien de recueil : accueil, cadre annoncé, questions ouvertes, reconstitution chronologique, recherche de faits datés et localisés, identification des témoins et des traces écrites, relecture du compte rendu avec la personne, signature.</w:t>
      </w:r>
    </w:p>
    <w:p>
      <w:pPr>
        <w:spacing w:before="0" w:after="100"/>
      </w:pPr>
      <w:r>
        <w:rPr>
          <w:b w:val="0"/>
          <w:i w:val="0"/>
          <w:sz w:val="21"/>
        </w:rPr>
        <w:t>Ce qu’on note et comment. Des faits, pas des interprétations. « Le 12 mars, en réunion, devant six personnes, il m’a dit : … » et non « il m’humilie constamment ». C’est la première mise en forme de ce qui deviendra, éventuellement, un faisceau d’éléments.</w:t>
      </w:r>
    </w:p>
    <w:p>
      <w:pPr>
        <w:spacing w:before="0" w:after="100"/>
      </w:pPr>
      <w:r>
        <w:rPr>
          <w:b w:val="0"/>
          <w:i w:val="0"/>
          <w:sz w:val="21"/>
        </w:rPr>
        <w:t>Ce qu’on promet et ce qu’on ne promet pas. On ne promet jamais l’anonymat : la procédure suppose que l’auteur présumé puisse répondre. On promet la discrétion, un périmètre nommé de personnes informées, et un délai.</w:t>
      </w:r>
    </w:p>
    <w:p>
      <w:pPr>
        <w:spacing w:before="0" w:after="100"/>
      </w:pPr>
      <w:r>
        <w:rPr>
          <w:b w:val="0"/>
          <w:i w:val="0"/>
          <w:sz w:val="21"/>
        </w:rPr>
        <w:t>Repérer l’urgence. Idées suicidaires, arrêt de travail imminent, isolement total, consommation d’alcool ou de médicaments : dans ces cas, saisine du service de prévention et de santé au travail le jour même, et information de la direction sans attendre la fin du recueil.</w:t>
      </w:r>
    </w:p>
    <w:p>
      <w:pPr>
        <w:spacing w:after="100"/>
      </w:pPr>
      <w:r>
        <w:rPr>
          <w:b/>
          <w:color w:val="A0842E"/>
          <w:sz w:val="20"/>
        </w:rPr>
        <w:t xml:space="preserve">Exercice. </w:t>
      </w:r>
      <w:r>
        <w:rPr>
          <w:sz w:val="20"/>
        </w:rPr>
        <w:t>Deux entretiens joués et filmés si les participants y consentent, avec restitution sur la qualité des questions et la précision des notes.</w:t>
      </w:r>
    </w:p>
    <w:p>
      <w:pPr>
        <w:spacing w:before="200" w:after="40"/>
      </w:pPr>
      <w:r>
        <w:rPr>
          <w:b/>
          <w:sz w:val="22"/>
        </w:rPr>
        <w:t>Module 3 — Le régime de la preuve</w:t>
      </w:r>
      <w:r>
        <w:rPr>
          <w:b/>
          <w:color w:val="A0842E"/>
          <w:sz w:val="19"/>
        </w:rPr>
        <w:t xml:space="preserve">   2 h</w:t>
      </w:r>
    </w:p>
    <w:p>
      <w:pPr>
        <w:spacing w:before="0" w:after="100"/>
      </w:pPr>
      <w:r>
        <w:rPr>
          <w:b w:val="0"/>
          <w:i w:val="0"/>
          <w:sz w:val="21"/>
        </w:rPr>
        <w:t>Le salarié n’a pas à prouver le harcèlement : il présente des éléments de fait laissant supposer son existence (article L.1154-1). La charge de la preuve ne pèse pas sur lui (Cass. soc., 7 juillet 2021, n° 19-20.320). C’est ensuite à l’employeur de démontrer que ses décisions reposent sur des éléments objectifs étrangers à tout harcèlement.</w:t>
      </w:r>
    </w:p>
    <w:p>
      <w:pPr>
        <w:spacing w:before="0" w:after="100"/>
      </w:pPr>
      <w:r>
        <w:rPr>
          <w:b w:val="0"/>
          <w:i w:val="0"/>
          <w:sz w:val="21"/>
        </w:rPr>
        <w:t>La preuve est libre, et la Cour de cassation admet les modes les plus larges. Un enregistrement obtenu à l’insu de son auteur, par nature déloyal, a été jugé recevable dès lors qu’il est indispensable à l’exercice du droit à la preuve et proportionné au but poursuivi (Cass. soc., 10 juillet 2024, n° 23-14.900, faisant application de Cass. ass. plén., 22 décembre 2023, n° 20-20.648). Si un tel procédé est admis, les courriers, courriels, avis de la médecine du travail et attestations de tiers le sont a fortiori.</w:t>
      </w:r>
    </w:p>
    <w:p>
      <w:pPr>
        <w:spacing w:before="0" w:after="100"/>
      </w:pPr>
      <w:r>
        <w:rPr>
          <w:b w:val="0"/>
          <w:i w:val="0"/>
          <w:sz w:val="21"/>
        </w:rPr>
        <w:t>Le juge apprécie les éléments DANS LEUR ENSEMBLE, y compris les certificats médicaux (Cass. soc., 18 décembre 2024, n° 23-21.649). L’analyse fait par fait est censurée (Cass. soc., 11 mars 2026, n° 24-21.502). Un cumul de décisions défavorables, anodines prises isolément, peut caractériser un harcèlement.</w:t>
      </w:r>
    </w:p>
    <w:p>
      <w:pPr>
        <w:spacing w:after="100"/>
      </w:pPr>
      <w:r>
        <w:rPr>
          <w:b/>
          <w:color w:val="B23B3B"/>
          <w:sz w:val="20"/>
        </w:rPr>
        <w:t xml:space="preserve">Le piège. </w:t>
      </w:r>
      <w:r>
        <w:rPr>
          <w:sz w:val="20"/>
        </w:rPr>
        <w:t>Le référent qui écarte un signalement au motif qu’« il n’y a pas de preuve » se trompe de régime — et engage l’employeur.</w:t>
      </w:r>
    </w:p>
    <w:p>
      <w:pPr>
        <w:spacing w:before="200" w:after="40"/>
      </w:pPr>
      <w:r>
        <w:rPr>
          <w:b/>
          <w:sz w:val="22"/>
        </w:rPr>
        <w:t>Module 4 — Conduire une enquête</w:t>
      </w:r>
      <w:r>
        <w:rPr>
          <w:b/>
          <w:color w:val="A0842E"/>
          <w:sz w:val="19"/>
        </w:rPr>
        <w:t xml:space="preserve">   4 h, cas pratique complet</w:t>
      </w:r>
    </w:p>
    <w:p>
      <w:pPr>
        <w:spacing w:before="0" w:after="100"/>
      </w:pPr>
      <w:r>
        <w:rPr>
          <w:b w:val="0"/>
          <w:i w:val="0"/>
          <w:sz w:val="21"/>
        </w:rPr>
        <w:t>Décider s’il faut enquêter. L’enquête n’est pas obligatoire en soi : l’employeur peut satisfaire à son obligation sans enquête s’il a pris d’autres mesures suffisantes (Cass. soc., 12 juin 2024, n° 23-13.975). Mais la décision de ne pas enquêter doit être écrite et motivée. Et l’enquête, à l’inverse, ne suffit pas davantage à exonérer : elle ne remplace pas la prévention.</w:t>
      </w:r>
    </w:p>
    <w:p>
      <w:pPr>
        <w:spacing w:before="0" w:after="100"/>
      </w:pPr>
      <w:r>
        <w:rPr>
          <w:b w:val="0"/>
          <w:i w:val="0"/>
          <w:sz w:val="21"/>
        </w:rPr>
        <w:t>Composer la commission. Jamais l’auteur présumé, jamais le supérieur direct de la victime. De préférence à parité, avec un élu du comité. Deux à trois personnes, pas davantage.</w:t>
      </w:r>
    </w:p>
    <w:p>
      <w:pPr>
        <w:spacing w:before="0" w:after="100"/>
      </w:pPr>
      <w:r>
        <w:rPr>
          <w:b w:val="0"/>
          <w:i w:val="0"/>
          <w:sz w:val="21"/>
        </w:rPr>
        <w:t>La lettre de mission : périmètre, délai, méthode, confidentialité, destinataire du rapport.</w:t>
      </w:r>
    </w:p>
    <w:p>
      <w:pPr>
        <w:spacing w:before="0" w:after="100"/>
      </w:pPr>
      <w:r>
        <w:rPr>
          <w:b w:val="0"/>
          <w:i w:val="0"/>
          <w:sz w:val="21"/>
        </w:rPr>
        <w:t>Les auditions : la victime d’abord, puis l’auteur présumé, puis les témoins désignés par chacun. Un compte rendu par audition, relu et signé. Les auditions se tiennent hors de la vue des équipes.</w:t>
      </w:r>
    </w:p>
    <w:p>
      <w:pPr>
        <w:spacing w:before="0" w:after="100"/>
      </w:pPr>
      <w:r>
        <w:rPr>
          <w:b w:val="0"/>
          <w:i w:val="0"/>
          <w:sz w:val="21"/>
        </w:rPr>
        <w:t>Le rapport distingue trois catégories, et trois seulement : les faits établis, les faits non établis, les faits contestés. Il ne qualifie pas juridiquement à la place de l’employeur — c’est à ce dernier de décider, et au juge de qualifier.</w:t>
      </w:r>
    </w:p>
    <w:p>
      <w:pPr>
        <w:spacing w:after="100"/>
      </w:pPr>
      <w:r>
        <w:rPr>
          <w:b/>
          <w:color w:val="A0842E"/>
          <w:sz w:val="20"/>
        </w:rPr>
        <w:t xml:space="preserve">Exercice. </w:t>
      </w:r>
      <w:r>
        <w:rPr>
          <w:sz w:val="20"/>
        </w:rPr>
        <w:t>Un dossier complet est distribué — signalement, organigramme, courriels, plannings. Les participants composent la commission, rédigent la lettre de mission, mènent deux auditions jouées et rédigent le rapport. Restitution et correction.</w:t>
      </w:r>
    </w:p>
    <w:p>
      <w:pPr>
        <w:spacing w:before="200" w:after="40"/>
      </w:pPr>
      <w:r>
        <w:rPr>
          <w:b/>
          <w:sz w:val="22"/>
        </w:rPr>
        <w:t>Module 5 — Après l’enquête</w:t>
      </w:r>
      <w:r>
        <w:rPr>
          <w:b/>
          <w:color w:val="A0842E"/>
          <w:sz w:val="19"/>
        </w:rPr>
        <w:t xml:space="preserve">   1 h</w:t>
      </w:r>
    </w:p>
    <w:p>
      <w:pPr>
        <w:spacing w:before="0" w:after="100"/>
      </w:pPr>
      <w:r>
        <w:rPr>
          <w:b w:val="0"/>
          <w:i w:val="0"/>
          <w:sz w:val="21"/>
        </w:rPr>
        <w:t>Décision motivée, écrite, notifiée aux deux parties. Si les faits sont établis : sanction proportionnée, jusqu’au licenciement pour faute grave ; si l’auteur est un salarié protégé, autorisation préalable de l’inspection du travail (article L.2411-1).</w:t>
      </w:r>
    </w:p>
    <w:p>
      <w:pPr>
        <w:spacing w:before="0" w:after="100"/>
      </w:pPr>
      <w:r>
        <w:rPr>
          <w:b w:val="0"/>
          <w:i w:val="0"/>
          <w:sz w:val="21"/>
        </w:rPr>
        <w:t>Si les faits ne sont pas établis : le dire, sans mettre en cause la bonne foi de l’auteur du signalement. La mauvaise foi ne peut résulter que de la connaissance par le salarié de la fausseté des faits qu’il dénonce.</w:t>
      </w:r>
    </w:p>
    <w:p>
      <w:pPr>
        <w:spacing w:before="0" w:after="100"/>
      </w:pPr>
      <w:r>
        <w:rPr>
          <w:b w:val="0"/>
          <w:i w:val="0"/>
          <w:sz w:val="21"/>
        </w:rPr>
        <w:t>Mesures d’accompagnement : suivi médical, aménagement de poste, médiation si les deux parties y consentent — jamais imposée.</w:t>
      </w:r>
    </w:p>
    <w:p>
      <w:pPr>
        <w:spacing w:before="0" w:after="100"/>
      </w:pPr>
      <w:r>
        <w:rPr>
          <w:b w:val="0"/>
          <w:i w:val="0"/>
          <w:sz w:val="21"/>
        </w:rPr>
        <w:t>Information du comité, sans nommer les personnes. Mise à jour du document unique si le signalement révèle un risque non identifié.</w:t>
      </w:r>
    </w:p>
    <w:p>
      <w:pPr>
        <w:spacing w:before="0" w:after="100"/>
      </w:pPr>
      <w:r>
        <w:rPr>
          <w:b w:val="0"/>
          <w:i w:val="0"/>
          <w:sz w:val="21"/>
        </w:rPr>
        <w:t>Suivi à trois mois, écrit : vérifier que rien n’a repris et qu’aucune mesure défavorable n’a suivi la dénonciation. C’est là que se joue la nullité d’un licenciement ultérieur.</w:t>
      </w:r>
    </w:p>
    <w:p>
      <w:pPr>
        <w:spacing w:before="200" w:after="40"/>
      </w:pPr>
      <w:r>
        <w:rPr>
          <w:b/>
          <w:sz w:val="22"/>
        </w:rPr>
        <w:t>Module 6 — Les erreurs qui coûtent le procès</w:t>
      </w:r>
      <w:r>
        <w:rPr>
          <w:b/>
          <w:color w:val="A0842E"/>
          <w:sz w:val="19"/>
        </w:rPr>
        <w:t xml:space="preserve">   1 h</w:t>
      </w:r>
    </w:p>
    <w:p>
      <w:pPr>
        <w:spacing w:before="0" w:after="100"/>
      </w:pPr>
      <w:r>
        <w:rPr>
          <w:b w:val="0"/>
          <w:i w:val="0"/>
          <w:sz w:val="21"/>
        </w:rPr>
        <w:t>Déplacer la victime plutôt que l’auteur présumé — régulièrement retenu comme un élément supplémentaire de harcèlement.</w:t>
      </w:r>
    </w:p>
    <w:p>
      <w:pPr>
        <w:spacing w:before="0" w:after="100"/>
      </w:pPr>
      <w:r>
        <w:rPr>
          <w:b w:val="0"/>
          <w:i w:val="0"/>
          <w:sz w:val="21"/>
        </w:rPr>
        <w:t>Laisser l’auteur présumé participer à l’enquête, ou en être informé avant les auditions.</w:t>
      </w:r>
    </w:p>
    <w:p>
      <w:pPr>
        <w:spacing w:before="0" w:after="100"/>
      </w:pPr>
      <w:r>
        <w:rPr>
          <w:b w:val="0"/>
          <w:i w:val="0"/>
          <w:sz w:val="21"/>
        </w:rPr>
        <w:t>Ne pas dater les notes, ou les rédiger après coup.</w:t>
      </w:r>
    </w:p>
    <w:p>
      <w:pPr>
        <w:spacing w:before="0" w:after="100"/>
      </w:pPr>
      <w:r>
        <w:rPr>
          <w:b w:val="0"/>
          <w:i w:val="0"/>
          <w:sz w:val="21"/>
        </w:rPr>
        <w:t>Promettre l’anonymat, puis devoir le rompre.</w:t>
      </w:r>
    </w:p>
    <w:p>
      <w:pPr>
        <w:spacing w:before="0" w:after="100"/>
      </w:pPr>
      <w:r>
        <w:rPr>
          <w:b w:val="0"/>
          <w:i w:val="0"/>
          <w:sz w:val="21"/>
        </w:rPr>
        <w:t>Classer sans écrire — le classement sans trace équivaut à l’inaction.</w:t>
      </w:r>
    </w:p>
    <w:p>
      <w:pPr>
        <w:spacing w:before="0" w:after="100"/>
      </w:pPr>
      <w:r>
        <w:rPr>
          <w:b w:val="0"/>
          <w:i w:val="0"/>
          <w:sz w:val="21"/>
        </w:rPr>
        <w:t>Ne rien faire parce que le mot « harcèlement » n’a pas été prononcé.</w:t>
      </w:r>
    </w:p>
    <w:p>
      <w:pPr>
        <w:spacing w:before="0" w:after="100"/>
      </w:pPr>
      <w:r>
        <w:rPr>
          <w:b w:val="0"/>
          <w:i w:val="0"/>
          <w:sz w:val="21"/>
        </w:rPr>
        <w:t>Sanctionner, muter ou licencier le salarié qui a dénoncé : la rupture est nulle si elle est fondée sur cette dénonciation, et l’indemnité échappe au barème.</w:t>
      </w:r>
    </w:p>
    <w:p>
      <w:pPr>
        <w:spacing w:before="240" w:after="80"/>
      </w:pPr>
      <w:r>
        <w:rPr>
          <w:b/>
          <w:i w:val="0"/>
          <w:color w:val="1F3B57"/>
          <w:sz w:val="25"/>
        </w:rPr>
        <w:t>Ce que l’action produit — les pièces à conserver</w:t>
      </w:r>
    </w:p>
    <w:p>
      <w:pPr>
        <w:pStyle w:val="ListBullet"/>
        <w:spacing w:after="40"/>
      </w:pPr>
      <w:r>
        <w:rPr>
          <w:sz w:val="20"/>
        </w:rPr>
        <w:t>Programme daté</w:t>
      </w:r>
    </w:p>
    <w:p>
      <w:pPr>
        <w:pStyle w:val="ListBullet"/>
        <w:spacing w:after="40"/>
      </w:pPr>
      <w:r>
        <w:rPr>
          <w:sz w:val="20"/>
        </w:rPr>
        <w:t>Feuille d’émargement</w:t>
      </w:r>
    </w:p>
    <w:p>
      <w:pPr>
        <w:pStyle w:val="ListBullet"/>
        <w:spacing w:after="40"/>
      </w:pPr>
      <w:r>
        <w:rPr>
          <w:sz w:val="20"/>
        </w:rPr>
        <w:t>Trame d’entretien de recueil</w:t>
      </w:r>
    </w:p>
    <w:p>
      <w:pPr>
        <w:pStyle w:val="ListBullet"/>
        <w:spacing w:after="40"/>
      </w:pPr>
      <w:r>
        <w:rPr>
          <w:sz w:val="20"/>
        </w:rPr>
        <w:t>Modèle de lettre de mission de la commission d’enquête</w:t>
      </w:r>
    </w:p>
    <w:p>
      <w:pPr>
        <w:pStyle w:val="ListBullet"/>
        <w:spacing w:after="40"/>
      </w:pPr>
      <w:r>
        <w:rPr>
          <w:sz w:val="20"/>
        </w:rPr>
        <w:t>Modèle de compte rendu d’audition</w:t>
      </w:r>
    </w:p>
    <w:p>
      <w:pPr>
        <w:pStyle w:val="ListBullet"/>
        <w:spacing w:after="40"/>
      </w:pPr>
      <w:r>
        <w:rPr>
          <w:sz w:val="20"/>
        </w:rPr>
        <w:t>Modèle de rapport d’enquête</w:t>
      </w:r>
    </w:p>
    <w:p>
      <w:pPr>
        <w:pStyle w:val="ListBullet"/>
        <w:spacing w:after="40"/>
      </w:pPr>
      <w:r>
        <w:rPr>
          <w:sz w:val="20"/>
        </w:rPr>
        <w:t>Attestation individuelle de formation</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Programme 3 — Information de l’ensemble des salariés</w:t>
      </w:r>
    </w:p>
    <w:p>
      <w:pPr>
        <w:spacing w:after="160"/>
        <w:pBdr>
          <w:bottom w:val="single" w:sz="8" w:color="C9A84C"/>
        </w:pBdr>
      </w:pPr>
    </w:p>
    <w:p>
      <w:pPr>
        <w:spacing w:before="0" w:after="120"/>
      </w:pPr>
      <w:r>
        <w:rPr>
          <w:b/>
          <w:i w:val="0"/>
          <w:sz w:val="21"/>
        </w:rPr>
        <w:t>Public : tout le personnel, y compris les contrats courts, les alternants et les intérimaires présents dans l’entreprise.</w:t>
      </w:r>
    </w:p>
    <w:p>
      <w:pPr>
        <w:spacing w:before="0" w:after="120"/>
      </w:pPr>
      <w:r>
        <w:rPr>
          <w:b/>
          <w:i w:val="0"/>
          <w:sz w:val="21"/>
        </w:rPr>
        <w:t>Durée : une heure trente en présentiel, ou un module écrit émargé. Rappel annuel.</w:t>
      </w:r>
    </w:p>
    <w:p>
      <w:pPr>
        <w:spacing w:before="160" w:after="200"/>
      </w:pPr>
      <w:r>
        <w:rPr>
          <w:b w:val="0"/>
          <w:i w:val="0"/>
          <w:sz w:val="21"/>
        </w:rPr>
        <w:t>Objectif. La loi parle d’actions d’information ET de formation. Former l’encadrement sans informer les salariés ne fait que la moitié du chemin. Et un salarié qui sait à qui parler parle plus tôt — c’est-à-dire avant que la situation ne devienne un contentieux.</w:t>
      </w:r>
    </w:p>
    <w:p>
      <w:pPr>
        <w:spacing w:before="200" w:after="40"/>
      </w:pPr>
      <w:r>
        <w:rPr>
          <w:b/>
          <w:sz w:val="22"/>
        </w:rPr>
        <w:t>Module 1 — Ce qu’est le harcèlement, en clair</w:t>
      </w:r>
      <w:r>
        <w:rPr>
          <w:b/>
          <w:color w:val="A0842E"/>
          <w:sz w:val="19"/>
        </w:rPr>
        <w:t xml:space="preserve">   30 min</w:t>
      </w:r>
    </w:p>
    <w:p>
      <w:pPr>
        <w:spacing w:before="0" w:after="100"/>
      </w:pPr>
      <w:r>
        <w:rPr>
          <w:b w:val="0"/>
          <w:i w:val="0"/>
          <w:sz w:val="21"/>
        </w:rPr>
        <w:t>La définition en mots simples, illustrée par cinq cas tirés de la jurisprudence : le poste vidé de son contenu, la mise à l’écart organisée par les collègues, l’absence de travail fourni, le retour de congé maternité, les pressions pour signer une rupture conventionnelle.</w:t>
      </w:r>
    </w:p>
    <w:p>
      <w:pPr>
        <w:spacing w:before="0" w:after="100"/>
      </w:pPr>
      <w:r>
        <w:rPr>
          <w:b w:val="0"/>
          <w:i w:val="0"/>
          <w:sz w:val="21"/>
        </w:rPr>
        <w:t>Et la limite, dite aussi clairement : un manager exigeant n’est pas un harceleur ; une sanction justifiée n’est pas du harcèlement ; un conflit aux torts partagés non plus. Dire la limite protège la crédibilité du dispositif.</w:t>
      </w:r>
    </w:p>
    <w:p>
      <w:pPr>
        <w:spacing w:before="0" w:after="100"/>
      </w:pPr>
      <w:r>
        <w:rPr>
          <w:b w:val="0"/>
          <w:i w:val="0"/>
          <w:sz w:val="21"/>
        </w:rPr>
        <w:t>Le harcèlement sexuel et les agissements sexistes sont traités dans le même module : définition, exemples, et le fait qu’un fait unique suffit en matière de harcèlement sexuel dès lors qu’il est grave.</w:t>
      </w:r>
    </w:p>
    <w:p>
      <w:pPr>
        <w:spacing w:before="200" w:after="40"/>
      </w:pPr>
      <w:r>
        <w:rPr>
          <w:b/>
          <w:sz w:val="22"/>
        </w:rPr>
        <w:t>Module 2 — Ce que vous devez savoir de vos droits</w:t>
      </w:r>
      <w:r>
        <w:rPr>
          <w:b/>
          <w:color w:val="A0842E"/>
          <w:sz w:val="19"/>
        </w:rPr>
        <w:t xml:space="preserve">   20 min</w:t>
      </w:r>
    </w:p>
    <w:p>
      <w:pPr>
        <w:spacing w:before="0" w:after="100"/>
      </w:pPr>
      <w:r>
        <w:rPr>
          <w:b w:val="0"/>
          <w:i w:val="0"/>
          <w:sz w:val="21"/>
        </w:rPr>
        <w:t>Vous n’avez pas à prouver le harcèlement : vous devez présenter des éléments de fait laissant supposer son existence. C’est ensuite à l’employeur de démontrer que ses décisions reposent sur des éléments objectifs.</w:t>
      </w:r>
    </w:p>
    <w:p>
      <w:pPr>
        <w:spacing w:before="0" w:after="100"/>
      </w:pPr>
      <w:r>
        <w:rPr>
          <w:b w:val="0"/>
          <w:i w:val="0"/>
          <w:sz w:val="21"/>
        </w:rPr>
        <w:t>Vous n’avez pas à employer le mot « harcèlement ». Décrire les faits suffit à déclencher l’obligation d’agir.</w:t>
      </w:r>
    </w:p>
    <w:p>
      <w:pPr>
        <w:spacing w:before="0" w:after="100"/>
      </w:pPr>
      <w:r>
        <w:rPr>
          <w:b w:val="0"/>
          <w:i w:val="0"/>
          <w:sz w:val="21"/>
        </w:rPr>
        <w:t>Vous êtes protégé si vous dénoncez de bonne foi. Aucune sanction, aucun licenciement, aucune mesure discriminatoire ne peut être prise pour avoir subi, refusé de subir, relaté ou témoigné de faits de harcèlement. Toute rupture prononcée en méconnaissance de cette règle est nulle.</w:t>
      </w:r>
    </w:p>
    <w:p>
      <w:pPr>
        <w:spacing w:before="0" w:after="100"/>
      </w:pPr>
      <w:r>
        <w:rPr>
          <w:b w:val="0"/>
          <w:i w:val="0"/>
          <w:sz w:val="21"/>
        </w:rPr>
        <w:t>Le témoin est protégé au même titre que la victime.</w:t>
      </w:r>
    </w:p>
    <w:p>
      <w:pPr>
        <w:spacing w:before="0" w:after="100"/>
      </w:pPr>
      <w:r>
        <w:rPr>
          <w:b w:val="0"/>
          <w:i w:val="0"/>
          <w:sz w:val="21"/>
        </w:rPr>
        <w:t>Conseil pratique donné en séance : écrivez ce qui se passe, au fur et à mesure, avec les dates et les personnes présentes. Conservez les courriels. La vraie question n’est pas « avez-vous un témoin ? » mais « avez-vous documenté ? ».</w:t>
      </w:r>
    </w:p>
    <w:p>
      <w:pPr>
        <w:spacing w:before="200" w:after="40"/>
      </w:pPr>
      <w:r>
        <w:rPr>
          <w:b/>
          <w:sz w:val="22"/>
        </w:rPr>
        <w:t>Module 3 — À qui parler</w:t>
      </w:r>
      <w:r>
        <w:rPr>
          <w:b/>
          <w:color w:val="A0842E"/>
          <w:sz w:val="19"/>
        </w:rPr>
        <w:t xml:space="preserve">   20 min</w:t>
      </w:r>
    </w:p>
    <w:p>
      <w:pPr>
        <w:spacing w:before="0" w:after="100"/>
      </w:pPr>
      <w:r>
        <w:rPr>
          <w:b w:val="0"/>
          <w:i w:val="0"/>
          <w:sz w:val="21"/>
        </w:rPr>
        <w:t>Les noms et les visages : le référent de l’entreprise, le référent du comité, les élus, le service de prévention et de santé au travail, l’inspection du travail avec le nom de l’agent, le Défenseur des droits.</w:t>
      </w:r>
    </w:p>
    <w:p>
      <w:pPr>
        <w:spacing w:before="0" w:after="100"/>
      </w:pPr>
      <w:r>
        <w:rPr>
          <w:b w:val="0"/>
          <w:i w:val="0"/>
          <w:sz w:val="21"/>
        </w:rPr>
        <w:t>Plusieurs portes d’entrée, jamais une seule. Vous pouvez contourner votre hiérarchie directe — c’est prévu, et c’est souvent nécessaire.</w:t>
      </w:r>
    </w:p>
    <w:p>
      <w:pPr>
        <w:spacing w:before="0" w:after="100"/>
      </w:pPr>
      <w:r>
        <w:rPr>
          <w:b w:val="0"/>
          <w:i w:val="0"/>
          <w:sz w:val="21"/>
        </w:rPr>
        <w:t>Une carte au format portefeuille, avec ces coordonnées, est remise à chaque participant et jointe au livret d’accueil.</w:t>
      </w:r>
    </w:p>
    <w:p>
      <w:pPr>
        <w:spacing w:before="200" w:after="40"/>
      </w:pPr>
      <w:r>
        <w:rPr>
          <w:b/>
          <w:sz w:val="22"/>
        </w:rPr>
        <w:t>Module 4 — Ce qui se passe ensuite</w:t>
      </w:r>
      <w:r>
        <w:rPr>
          <w:b/>
          <w:color w:val="A0842E"/>
          <w:sz w:val="19"/>
        </w:rPr>
        <w:t xml:space="preserve">   10 min</w:t>
      </w:r>
    </w:p>
    <w:p>
      <w:pPr>
        <w:spacing w:before="0" w:after="100"/>
      </w:pPr>
      <w:r>
        <w:rPr>
          <w:b w:val="0"/>
          <w:i w:val="0"/>
          <w:sz w:val="21"/>
        </w:rPr>
        <w:t>Le déroulé : accusé de réception sous quarante-huit heures, entretien de recueil, mesures conservatoires sous huit jours, enquête le cas échéant, décision motivée, suivi à trois mois.</w:t>
      </w:r>
    </w:p>
    <w:p>
      <w:pPr>
        <w:spacing w:before="0" w:after="100"/>
      </w:pPr>
      <w:r>
        <w:rPr>
          <w:b w:val="0"/>
          <w:i w:val="0"/>
          <w:sz w:val="21"/>
        </w:rPr>
        <w:t>Ce qui est confidentiel et ce qui ne peut pas l’être. Dire la vérité sur ce point évite les signalements retirés en cours de procédure.</w:t>
      </w:r>
    </w:p>
    <w:p>
      <w:pPr>
        <w:spacing w:before="200" w:after="40"/>
      </w:pPr>
      <w:r>
        <w:rPr>
          <w:b/>
          <w:sz w:val="22"/>
        </w:rPr>
        <w:t>Module 5 — Et si vous êtes témoin</w:t>
      </w:r>
      <w:r>
        <w:rPr>
          <w:b/>
          <w:color w:val="A0842E"/>
          <w:sz w:val="19"/>
        </w:rPr>
        <w:t xml:space="preserve">   10 min</w:t>
      </w:r>
    </w:p>
    <w:p>
      <w:pPr>
        <w:spacing w:before="0" w:after="100"/>
      </w:pPr>
      <w:r>
        <w:rPr>
          <w:b w:val="0"/>
          <w:i w:val="0"/>
          <w:sz w:val="21"/>
        </w:rPr>
        <w:t>Ce que vous pouvez faire : écrire ce que vous avez vu ou entendu, daté et signé, et le remettre au référent. Une attestation de témoin se rédige selon des règles simples, rappelées et distribuées.</w:t>
      </w:r>
    </w:p>
    <w:p>
      <w:pPr>
        <w:spacing w:before="0" w:after="100"/>
      </w:pPr>
      <w:r>
        <w:rPr>
          <w:b w:val="0"/>
          <w:i w:val="0"/>
          <w:sz w:val="21"/>
        </w:rPr>
        <w:t>Ce qu’il ne faut pas faire : enquêter soi-même, en parler à l’équipe, ou prendre parti publiquement.</w:t>
      </w:r>
    </w:p>
    <w:p>
      <w:pPr>
        <w:spacing w:before="240" w:after="80"/>
      </w:pPr>
      <w:r>
        <w:rPr>
          <w:b/>
          <w:i w:val="0"/>
          <w:color w:val="1F3B57"/>
          <w:sz w:val="25"/>
        </w:rPr>
        <w:t>Ce que l’action produit — les pièces à conserver</w:t>
      </w:r>
    </w:p>
    <w:p>
      <w:pPr>
        <w:pStyle w:val="ListBullet"/>
        <w:spacing w:after="40"/>
      </w:pPr>
      <w:r>
        <w:rPr>
          <w:sz w:val="20"/>
        </w:rPr>
        <w:t>Support diffusé, daté</w:t>
      </w:r>
    </w:p>
    <w:p>
      <w:pPr>
        <w:pStyle w:val="ListBullet"/>
        <w:spacing w:after="40"/>
      </w:pPr>
      <w:r>
        <w:rPr>
          <w:sz w:val="20"/>
        </w:rPr>
        <w:t>Liste des destinataires</w:t>
      </w:r>
    </w:p>
    <w:p>
      <w:pPr>
        <w:pStyle w:val="ListBullet"/>
        <w:spacing w:after="40"/>
      </w:pPr>
      <w:r>
        <w:rPr>
          <w:sz w:val="20"/>
        </w:rPr>
        <w:t>Émargement ou accusé de lecture horodaté</w:t>
      </w:r>
    </w:p>
    <w:p>
      <w:pPr>
        <w:pStyle w:val="ListBullet"/>
        <w:spacing w:after="40"/>
      </w:pPr>
      <w:r>
        <w:rPr>
          <w:sz w:val="20"/>
        </w:rPr>
        <w:t>Carte de contacts remise</w:t>
      </w:r>
    </w:p>
    <w:p>
      <w:pPr>
        <w:pStyle w:val="ListBullet"/>
        <w:spacing w:after="40"/>
      </w:pPr>
      <w:r>
        <w:rPr>
          <w:sz w:val="20"/>
        </w:rPr>
        <w:t>Modèle d’attestation de témoin distribué</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Les neuf actions d’organisation</w:t>
      </w:r>
    </w:p>
    <w:p>
      <w:pPr>
        <w:spacing w:after="160"/>
        <w:pBdr>
          <w:bottom w:val="single" w:sz="8" w:color="C9A84C"/>
        </w:pBdr>
      </w:pPr>
    </w:p>
    <w:p>
      <w:pPr>
        <w:spacing w:before="120" w:after="200"/>
      </w:pPr>
      <w:r>
        <w:rPr>
          <w:b w:val="0"/>
          <w:i w:val="0"/>
          <w:sz w:val="21"/>
        </w:rPr>
        <w:t>Les trois programmes ci-dessus ne valent que s’ils sont entourés. Voici les neuf autres actions, avec ce qu’elles produisent.</w:t>
      </w:r>
    </w:p>
    <w:p>
      <w:pPr>
        <w:spacing w:before="320" w:after="80"/>
      </w:pPr>
      <w:r>
        <w:rPr>
          <w:b/>
          <w:i w:val="0"/>
          <w:color w:val="1F3B57"/>
          <w:sz w:val="25"/>
        </w:rPr>
        <w:t>1 · Inscrire le risque au document unique</w:t>
      </w:r>
    </w:p>
    <w:p>
      <w:pPr>
        <w:spacing w:before="0" w:after="100"/>
      </w:pPr>
      <w:r>
        <w:rPr>
          <w:b w:val="0"/>
          <w:i/>
          <w:color w:val="A0842E"/>
          <w:sz w:val="19"/>
        </w:rPr>
        <w:t>Article L.4121-3 et R.4121-1</w:t>
      </w:r>
    </w:p>
    <w:p>
      <w:pPr>
        <w:spacing w:before="0" w:after="100"/>
      </w:pPr>
      <w:r>
        <w:rPr>
          <w:b w:val="0"/>
          <w:i w:val="0"/>
          <w:sz w:val="21"/>
        </w:rPr>
        <w:t>Le harcèlement n’est pas un incident relationnel : c’est un risque professionnel, au même titre que le bruit ou la manutention. Il s’évalue unité de travail par unité de travail.</w:t>
      </w:r>
    </w:p>
    <w:p>
      <w:pPr>
        <w:spacing w:before="0" w:after="100"/>
      </w:pPr>
      <w:r>
        <w:rPr>
          <w:b w:val="0"/>
          <w:i w:val="0"/>
          <w:sz w:val="21"/>
        </w:rPr>
        <w:t>Situations à examiner en priorité : travail isolé, relation client difficile, forte pression sur les résultats, réorganisation en cours, encadrement récemment nommé, équipes en sous-effectif.</w:t>
      </w:r>
    </w:p>
    <w:p>
      <w:pPr>
        <w:spacing w:before="0" w:after="100"/>
      </w:pPr>
      <w:r>
        <w:rPr>
          <w:b w:val="0"/>
          <w:i w:val="0"/>
          <w:sz w:val="21"/>
        </w:rPr>
        <w:t>Pour chaque unité : la situation dangereuse, la gravité, la fréquence, les mesures existantes et les mesures décidées — avec un responsable et une date. Une cotation sans mesure décidée ne sert à rien.</w:t>
      </w:r>
    </w:p>
    <w:p>
      <w:pPr>
        <w:spacing w:before="0" w:after="100"/>
      </w:pPr>
      <w:r>
        <w:rPr>
          <w:b w:val="0"/>
          <w:i w:val="0"/>
          <w:sz w:val="21"/>
        </w:rPr>
        <w:t>Mise à jour au moins annuelle, et à chaque signalement : un signalement EST une information supplémentaire sur un risque.</w:t>
      </w:r>
    </w:p>
    <w:p>
      <w:pPr>
        <w:spacing w:after="80"/>
      </w:pPr>
      <w:r>
        <w:rPr>
          <w:b/>
          <w:sz w:val="20"/>
        </w:rPr>
        <w:t xml:space="preserve">Pièces à conserver : </w:t>
      </w:r>
      <w:r>
        <w:rPr>
          <w:color w:val="555555"/>
          <w:sz w:val="20"/>
        </w:rPr>
        <w:t>Document unique daté, volet risques psychosociaux · Procès-verbal de consultation du comité · Plan d’actions avec responsable et échéance</w:t>
      </w:r>
    </w:p>
    <w:p>
      <w:pPr>
        <w:spacing w:before="320" w:after="80"/>
      </w:pPr>
      <w:r>
        <w:rPr>
          <w:b/>
          <w:i w:val="0"/>
          <w:color w:val="1F3B57"/>
          <w:sz w:val="25"/>
        </w:rPr>
        <w:t>2 · Afficher les textes et les voies de recours</w:t>
      </w:r>
    </w:p>
    <w:p>
      <w:pPr>
        <w:spacing w:before="0" w:after="100"/>
      </w:pPr>
      <w:r>
        <w:rPr>
          <w:b w:val="0"/>
          <w:i/>
          <w:color w:val="A0842E"/>
          <w:sz w:val="19"/>
        </w:rPr>
        <w:t>Articles L.1152-4 et L.1153-5</w:t>
      </w:r>
    </w:p>
    <w:p>
      <w:pPr>
        <w:spacing w:before="0" w:after="100"/>
      </w:pPr>
      <w:r>
        <w:rPr>
          <w:b w:val="0"/>
          <w:i w:val="0"/>
          <w:sz w:val="21"/>
        </w:rPr>
        <w:t>Le texte de l’article 222-33-2 du code pénal pour le harcèlement moral, celui de l’article 222-33 pour le harcèlement sexuel, les actions contentieuses ouvertes, et les coordonnées des autorités et services compétents.</w:t>
      </w:r>
    </w:p>
    <w:p>
      <w:pPr>
        <w:spacing w:before="0" w:after="100"/>
      </w:pPr>
      <w:r>
        <w:rPr>
          <w:b w:val="0"/>
          <w:i w:val="0"/>
          <w:sz w:val="21"/>
        </w:rPr>
        <w:t>Doivent y figurer nommément : le médecin du travail ou le service de prévention et de santé au travail, l’inspection du travail compétente avec le nom de l’agent, le Défenseur des droits, le référent de l’entreprise, le référent du comité. Un affichage qui ne nomme personne n’oriente personne.</w:t>
      </w:r>
    </w:p>
    <w:p>
      <w:pPr>
        <w:spacing w:before="0" w:after="100"/>
      </w:pPr>
      <w:r>
        <w:rPr>
          <w:b w:val="0"/>
          <w:i w:val="0"/>
          <w:sz w:val="21"/>
        </w:rPr>
        <w:t>Où : dans les lieux de travail et dans les locaux ou à la porte des locaux où se fait l’embauche. Sur chaque site. Pour les télétravailleurs et les itinérants, un relais numérique équivalent.</w:t>
      </w:r>
    </w:p>
    <w:p>
      <w:pPr>
        <w:spacing w:after="80"/>
      </w:pPr>
      <w:r>
        <w:rPr>
          <w:b/>
          <w:sz w:val="20"/>
        </w:rPr>
        <w:t xml:space="preserve">Pièces à conserver : </w:t>
      </w:r>
      <w:r>
        <w:rPr>
          <w:color w:val="555555"/>
          <w:sz w:val="20"/>
        </w:rPr>
        <w:t>Affiche à jour, par site · Photographies datées · Fiche de contrôle semestriel</w:t>
      </w:r>
    </w:p>
    <w:p>
      <w:pPr>
        <w:spacing w:before="320" w:after="80"/>
      </w:pPr>
      <w:r>
        <w:rPr>
          <w:b/>
          <w:i w:val="0"/>
          <w:color w:val="1F3B57"/>
          <w:sz w:val="25"/>
        </w:rPr>
        <w:t>3 · Compléter le règlement intérieur</w:t>
      </w:r>
    </w:p>
    <w:p>
      <w:pPr>
        <w:spacing w:before="0" w:after="100"/>
      </w:pPr>
      <w:r>
        <w:rPr>
          <w:b w:val="0"/>
          <w:i/>
          <w:color w:val="A0842E"/>
          <w:sz w:val="19"/>
        </w:rPr>
        <w:t>Article L.1321-2</w:t>
      </w:r>
    </w:p>
    <w:p>
      <w:pPr>
        <w:spacing w:before="0" w:after="100"/>
      </w:pPr>
      <w:r>
        <w:rPr>
          <w:b w:val="0"/>
          <w:i w:val="0"/>
          <w:sz w:val="21"/>
        </w:rPr>
        <w:t>Rappel des dispositions relatives à l’interdiction du harcèlement moral, du harcèlement sexuel et des agissements sexistes. Échelle des sanctions — sans elle, une sanction est inopposable. Procédure disciplinaire.</w:t>
      </w:r>
    </w:p>
    <w:p>
      <w:pPr>
        <w:spacing w:before="0" w:after="100"/>
      </w:pPr>
      <w:r>
        <w:rPr>
          <w:b w:val="0"/>
          <w:i w:val="0"/>
          <w:sz w:val="21"/>
        </w:rPr>
        <w:t>Ce qu’il ne doit pas contenir : une clause restreignant le droit de dénoncer, imposant un passage obligé par la hiérarchie directe — souvent l’auteur présumé — ou menaçant de sanction le salarié dont la dénonciation ne serait pas confirmée.</w:t>
      </w:r>
    </w:p>
    <w:p>
      <w:pPr>
        <w:spacing w:before="0" w:after="100"/>
      </w:pPr>
      <w:r>
        <w:rPr>
          <w:b w:val="0"/>
          <w:i w:val="0"/>
          <w:sz w:val="21"/>
        </w:rPr>
        <w:t>Procédure : consultation du comité, transmission à l’inspection du travail, dépôt au greffe du conseil de prud’hommes, affichage, entrée en vigueur un mois après.</w:t>
      </w:r>
    </w:p>
    <w:p>
      <w:pPr>
        <w:spacing w:before="0" w:after="100"/>
      </w:pPr>
      <w:r>
        <w:rPr>
          <w:b w:val="0"/>
          <w:i w:val="0"/>
          <w:sz w:val="21"/>
        </w:rPr>
        <w:t>À retenir : une procédure d’alerte inscrite au règlement intérieur, même utilisée par la victime, NE SUFFIT PAS à démontrer que toutes les mesures de prévention ont été prises (Cass. soc., 1er juin 2016, n° 14-19.702).</w:t>
      </w:r>
    </w:p>
    <w:p>
      <w:pPr>
        <w:spacing w:after="80"/>
      </w:pPr>
      <w:r>
        <w:rPr>
          <w:b/>
          <w:sz w:val="20"/>
        </w:rPr>
        <w:t xml:space="preserve">Pièces à conserver : </w:t>
      </w:r>
      <w:r>
        <w:rPr>
          <w:color w:val="555555"/>
          <w:sz w:val="20"/>
        </w:rPr>
        <w:t>Règlement intérieur à jour · Avis du comité · Récépissé de dépôt au greffe · Preuve de transmission à l’inspection du travail</w:t>
      </w:r>
    </w:p>
    <w:p>
      <w:pPr>
        <w:spacing w:before="320" w:after="80"/>
      </w:pPr>
      <w:r>
        <w:rPr>
          <w:b/>
          <w:i w:val="0"/>
          <w:color w:val="1F3B57"/>
          <w:sz w:val="25"/>
        </w:rPr>
        <w:t>4 · Faire désigner le référent du comité</w:t>
      </w:r>
    </w:p>
    <w:p>
      <w:pPr>
        <w:spacing w:before="0" w:after="100"/>
      </w:pPr>
      <w:r>
        <w:rPr>
          <w:b w:val="0"/>
          <w:i/>
          <w:color w:val="A0842E"/>
          <w:sz w:val="19"/>
        </w:rPr>
        <w:t>Article L.2314-1, dernier alinéa</w:t>
      </w:r>
    </w:p>
    <w:p>
      <w:pPr>
        <w:spacing w:before="0" w:after="100"/>
      </w:pPr>
      <w:r>
        <w:rPr>
          <w:b w:val="0"/>
          <w:i w:val="0"/>
          <w:sz w:val="21"/>
        </w:rPr>
        <w:t>Le comité désigne parmi ses membres — titulaires ou suppléants — un référent en matière de lutte contre le harcèlement sexuel et les agissements sexistes. Obligatoire dans toute entreprise dotée d’un comité, quelle que soit sa taille.</w:t>
      </w:r>
    </w:p>
    <w:p>
      <w:pPr>
        <w:spacing w:before="0" w:after="100"/>
      </w:pPr>
      <w:r>
        <w:rPr>
          <w:b w:val="0"/>
          <w:i w:val="0"/>
          <w:sz w:val="21"/>
        </w:rPr>
        <w:t>La désignation prend la forme d’une résolution adoptée à la majorité des membres présents, pour la durée du mandat.</w:t>
      </w:r>
    </w:p>
    <w:p>
      <w:pPr>
        <w:spacing w:before="0" w:after="100"/>
      </w:pPr>
      <w:r>
        <w:rPr>
          <w:b w:val="0"/>
          <w:i w:val="0"/>
          <w:sz w:val="21"/>
        </w:rPr>
        <w:t>Ses moyens : le temps nécessaire sur le crédit d’heures, une formation, la possibilité d’être reçu par la direction. Un référent désigné sans moyens est une désignation de façade.</w:t>
      </w:r>
    </w:p>
    <w:p>
      <w:pPr>
        <w:spacing w:before="0" w:after="100"/>
      </w:pPr>
      <w:r>
        <w:rPr>
          <w:b w:val="0"/>
          <w:i w:val="0"/>
          <w:sz w:val="21"/>
        </w:rPr>
        <w:t>Son nom et son contact figurent sur l’affichage et dans le livret d’accueil.</w:t>
      </w:r>
    </w:p>
    <w:p>
      <w:pPr>
        <w:spacing w:after="80"/>
      </w:pPr>
      <w:r>
        <w:rPr>
          <w:b/>
          <w:sz w:val="20"/>
        </w:rPr>
        <w:t xml:space="preserve">Pièces à conserver : </w:t>
      </w:r>
      <w:r>
        <w:rPr>
          <w:color w:val="555555"/>
          <w:sz w:val="20"/>
        </w:rPr>
        <w:t>Extrait du procès-verbal de désignation · Note diffusée avec le nom et le contact · Attestation de formation</w:t>
      </w:r>
    </w:p>
    <w:p>
      <w:pPr>
        <w:spacing w:before="320" w:after="80"/>
      </w:pPr>
      <w:r>
        <w:rPr>
          <w:b/>
          <w:i w:val="0"/>
          <w:color w:val="1F3B57"/>
          <w:sz w:val="25"/>
        </w:rPr>
        <w:t>5 · Désigner le référent de l’employeur</w:t>
      </w:r>
    </w:p>
    <w:p>
      <w:pPr>
        <w:spacing w:before="0" w:after="100"/>
      </w:pPr>
      <w:r>
        <w:rPr>
          <w:b w:val="0"/>
          <w:i/>
          <w:color w:val="A0842E"/>
          <w:sz w:val="19"/>
        </w:rPr>
        <w:t>Article L.1153-5-1 — entreprises d’au moins 250 salariés</w:t>
      </w:r>
    </w:p>
    <w:p>
      <w:pPr>
        <w:spacing w:before="0" w:after="100"/>
      </w:pPr>
      <w:r>
        <w:rPr>
          <w:b w:val="0"/>
          <w:i w:val="0"/>
          <w:sz w:val="21"/>
        </w:rPr>
        <w:t>Une personne accessible, distincte de la ligne hiérarchique directe des équipes exposées, capable de garder une information confidentielle. Le directeur des ressources humaines n’est pas toujours le meilleur choix : il est aussi celui qui sanctionne.</w:t>
      </w:r>
    </w:p>
    <w:p>
      <w:pPr>
        <w:spacing w:before="0" w:after="100"/>
      </w:pPr>
      <w:r>
        <w:rPr>
          <w:b w:val="0"/>
          <w:i w:val="0"/>
          <w:sz w:val="21"/>
        </w:rPr>
        <w:t>Lettre de mission écrite : périmètre, disponibilité, confidentialité, articulation avec le référent du comité, le service de santé au travail et la direction.</w:t>
      </w:r>
    </w:p>
    <w:p>
      <w:pPr>
        <w:spacing w:before="0" w:after="100"/>
      </w:pPr>
      <w:r>
        <w:rPr>
          <w:b w:val="0"/>
          <w:i w:val="0"/>
          <w:sz w:val="21"/>
        </w:rPr>
        <w:t>Point annuel avec la direction sur les signalements reçus et les suites données.</w:t>
      </w:r>
    </w:p>
    <w:p>
      <w:pPr>
        <w:spacing w:after="80"/>
      </w:pPr>
      <w:r>
        <w:rPr>
          <w:b/>
          <w:sz w:val="20"/>
        </w:rPr>
        <w:t xml:space="preserve">Pièces à conserver : </w:t>
      </w:r>
      <w:r>
        <w:rPr>
          <w:color w:val="555555"/>
          <w:sz w:val="20"/>
        </w:rPr>
        <w:t>Note de désignation · Lettre de mission · Attestation de formation · Compte rendu du point annuel</w:t>
      </w:r>
    </w:p>
    <w:p>
      <w:pPr>
        <w:spacing w:before="320" w:after="80"/>
      </w:pPr>
      <w:r>
        <w:rPr>
          <w:b/>
          <w:i w:val="0"/>
          <w:color w:val="1F3B57"/>
          <w:sz w:val="25"/>
        </w:rPr>
        <w:t>6 · Écrire et diffuser la procédure de signalement</w:t>
      </w:r>
    </w:p>
    <w:p>
      <w:pPr>
        <w:spacing w:before="0" w:after="100"/>
      </w:pPr>
      <w:r>
        <w:rPr>
          <w:b w:val="0"/>
          <w:i/>
          <w:color w:val="A0842E"/>
          <w:sz w:val="19"/>
        </w:rPr>
        <w:t>Articles L.1152-2, L.1152-4 et L.4121-1 (3°)</w:t>
      </w:r>
    </w:p>
    <w:p>
      <w:pPr>
        <w:spacing w:before="0" w:after="100"/>
      </w:pPr>
      <w:r>
        <w:rPr>
          <w:b w:val="0"/>
          <w:i w:val="0"/>
          <w:sz w:val="21"/>
        </w:rPr>
        <w:t>Plusieurs portes d’entrée, jamais une seule : supérieur hiérarchique, service RH, référent de l’entreprise, référent du comité, service de santé au travail, élu. Le salarié doit pouvoir contourner sa hiérarchie.</w:t>
      </w:r>
    </w:p>
    <w:p>
      <w:pPr>
        <w:spacing w:before="0" w:after="100"/>
      </w:pPr>
      <w:r>
        <w:rPr>
          <w:b w:val="0"/>
          <w:i w:val="0"/>
          <w:sz w:val="21"/>
        </w:rPr>
        <w:t>Les délais, écrits et tenus : accusé de réception sous quarante-huit heures, première mesure sous huit jours. C’est la « réaction immédiate » que la jurisprudence exige.</w:t>
      </w:r>
    </w:p>
    <w:p>
      <w:pPr>
        <w:spacing w:before="0" w:after="100"/>
      </w:pPr>
      <w:r>
        <w:rPr>
          <w:b w:val="0"/>
          <w:i w:val="0"/>
          <w:sz w:val="21"/>
        </w:rPr>
        <w:t>Les mesures conservatoires : séparer sans sanctionner. Ne JAMAIS déplacer la victime contre son gré. Mise à pied conservatoire de l’auteur présumé si les faits sont graves — mesure d’attente, pas sanction.</w:t>
      </w:r>
    </w:p>
    <w:p>
      <w:pPr>
        <w:spacing w:before="0" w:after="100"/>
      </w:pPr>
      <w:r>
        <w:rPr>
          <w:b w:val="0"/>
          <w:i w:val="0"/>
          <w:sz w:val="21"/>
        </w:rPr>
        <w:t>La confidentialité : qui sait quoi, où se tiennent les auditions, comment les notes sont conservées. Une rumeur qui part de l’enquête est imputable à l’employeur.</w:t>
      </w:r>
    </w:p>
    <w:p>
      <w:pPr>
        <w:spacing w:before="0" w:after="100"/>
      </w:pPr>
      <w:r>
        <w:rPr>
          <w:b w:val="0"/>
          <w:i w:val="0"/>
          <w:sz w:val="21"/>
        </w:rPr>
        <w:t>La protection du salarié qui dénonce, écrite en toutes lettres : c’est ce qui délie les langues.</w:t>
      </w:r>
    </w:p>
    <w:p>
      <w:pPr>
        <w:spacing w:after="80"/>
      </w:pPr>
      <w:r>
        <w:rPr>
          <w:b/>
          <w:sz w:val="20"/>
        </w:rPr>
        <w:t xml:space="preserve">Pièces à conserver : </w:t>
      </w:r>
      <w:r>
        <w:rPr>
          <w:color w:val="555555"/>
          <w:sz w:val="20"/>
        </w:rPr>
        <w:t>Procédure écrite · Preuve de diffusion horodatée · Modèles : accusé de réception, convocation, compte rendu, décision</w:t>
      </w:r>
    </w:p>
    <w:p>
      <w:pPr>
        <w:spacing w:before="320" w:after="80"/>
      </w:pPr>
      <w:r>
        <w:rPr>
          <w:b/>
          <w:i w:val="0"/>
          <w:color w:val="1F3B57"/>
          <w:sz w:val="25"/>
        </w:rPr>
        <w:t>7 · Informer à l’embauche</w:t>
      </w:r>
    </w:p>
    <w:p>
      <w:pPr>
        <w:spacing w:before="0" w:after="100"/>
      </w:pPr>
      <w:r>
        <w:rPr>
          <w:b w:val="0"/>
          <w:i/>
          <w:color w:val="A0842E"/>
          <w:sz w:val="19"/>
        </w:rPr>
        <w:t>Article L.4121-1 (2°)</w:t>
      </w:r>
    </w:p>
    <w:p>
      <w:pPr>
        <w:spacing w:before="0" w:after="100"/>
      </w:pPr>
      <w:r>
        <w:rPr>
          <w:b w:val="0"/>
          <w:i w:val="0"/>
          <w:sz w:val="21"/>
        </w:rPr>
        <w:t>Une notice de deux pages remise le jour de l’arrivée : définition, exemples, contacts nommés, procédure, protection du salarié qui dénonce. Datée, remise en main propre, émargée.</w:t>
      </w:r>
    </w:p>
    <w:p>
      <w:pPr>
        <w:spacing w:before="0" w:after="100"/>
      </w:pPr>
      <w:r>
        <w:rPr>
          <w:b w:val="0"/>
          <w:i w:val="0"/>
          <w:sz w:val="21"/>
        </w:rPr>
        <w:t>Cinq minutes à l’oral pendant l’accueil : à qui parler, et le fait que l’entreprise attend qu’on parle tôt.</w:t>
      </w:r>
    </w:p>
    <w:p>
      <w:pPr>
        <w:spacing w:before="0" w:after="100"/>
      </w:pPr>
      <w:r>
        <w:rPr>
          <w:b w:val="0"/>
          <w:i w:val="0"/>
          <w:sz w:val="21"/>
        </w:rPr>
        <w:t>Contrôle mensuel : croiser la liste des entrants avec les émargements. Un entrant sans émargement est un trou dans le dossier de preuve.</w:t>
      </w:r>
    </w:p>
    <w:p>
      <w:pPr>
        <w:spacing w:after="80"/>
      </w:pPr>
      <w:r>
        <w:rPr>
          <w:b/>
          <w:sz w:val="20"/>
        </w:rPr>
        <w:t xml:space="preserve">Pièces à conserver : </w:t>
      </w:r>
      <w:r>
        <w:rPr>
          <w:color w:val="555555"/>
          <w:sz w:val="20"/>
        </w:rPr>
        <w:t>Notice d’information · Émargement signé et daté · Contrôle mensuel entrants / émargements</w:t>
      </w:r>
    </w:p>
    <w:p>
      <w:pPr>
        <w:spacing w:before="320" w:after="80"/>
      </w:pPr>
      <w:r>
        <w:rPr>
          <w:b/>
          <w:i w:val="0"/>
          <w:color w:val="1F3B57"/>
          <w:sz w:val="25"/>
        </w:rPr>
        <w:t>8 · Tenir le registre des signalements</w:t>
      </w:r>
    </w:p>
    <w:p>
      <w:pPr>
        <w:spacing w:before="0" w:after="100"/>
      </w:pPr>
      <w:r>
        <w:rPr>
          <w:b w:val="0"/>
          <w:i/>
          <w:color w:val="A0842E"/>
          <w:sz w:val="19"/>
        </w:rPr>
        <w:t>Article L.4121-1 — RGPD pour les données</w:t>
      </w:r>
    </w:p>
    <w:p>
      <w:pPr>
        <w:spacing w:before="0" w:after="100"/>
      </w:pPr>
      <w:r>
        <w:rPr>
          <w:b w:val="0"/>
          <w:i w:val="0"/>
          <w:sz w:val="21"/>
        </w:rPr>
        <w:t>Ce qu’il porte : date du signalement, par qui il est reçu, forme, faits rapportés en une phrase sans qualification, mesures conservatoires et leur date, enquête ou non et pourquoi, décision et sa date, information des parties, suivi à trois mois.</w:t>
      </w:r>
    </w:p>
    <w:p>
      <w:pPr>
        <w:spacing w:before="0" w:after="100"/>
      </w:pPr>
      <w:r>
        <w:rPr>
          <w:b w:val="0"/>
          <w:i w:val="0"/>
          <w:sz w:val="21"/>
        </w:rPr>
        <w:t>Ce qu’il ne porte pas : aucune appréciation sur la personnalité, aucune donnée de santé, aucun jugement. C’est un journal de bord, pas un dossier médical.</w:t>
      </w:r>
    </w:p>
    <w:p>
      <w:pPr>
        <w:spacing w:before="0" w:after="100"/>
      </w:pPr>
      <w:r>
        <w:rPr>
          <w:b w:val="0"/>
          <w:i w:val="0"/>
          <w:sz w:val="21"/>
        </w:rPr>
        <w:t>Accès nominatif restreint et tracé. Durée de conservation définie, information des personnes concernées, base légale : l’obligation légale de l’employeur.</w:t>
      </w:r>
    </w:p>
    <w:p>
      <w:pPr>
        <w:spacing w:before="0" w:after="100"/>
      </w:pPr>
      <w:r>
        <w:rPr>
          <w:b w:val="0"/>
          <w:i w:val="0"/>
          <w:sz w:val="21"/>
        </w:rPr>
        <w:t>Bilan annuel : combien de signalements, sur quels sites, quels délais de réaction, quelles suites. Ce bilan alimente le document unique et la consultation du comité.</w:t>
      </w:r>
    </w:p>
    <w:p>
      <w:pPr>
        <w:spacing w:after="80"/>
      </w:pPr>
      <w:r>
        <w:rPr>
          <w:b/>
          <w:sz w:val="20"/>
        </w:rPr>
        <w:t xml:space="preserve">Pièces à conserver : </w:t>
      </w:r>
      <w:r>
        <w:rPr>
          <w:color w:val="555555"/>
          <w:sz w:val="20"/>
        </w:rPr>
        <w:t>Registre tenu · Bilan annuel · Politique de conservation et d’accès</w:t>
      </w:r>
    </w:p>
    <w:p>
      <w:pPr>
        <w:spacing w:before="320" w:after="80"/>
      </w:pPr>
      <w:r>
        <w:rPr>
          <w:b/>
          <w:i w:val="0"/>
          <w:color w:val="1F3B57"/>
          <w:sz w:val="25"/>
        </w:rPr>
        <w:t>9 · Réagir : le protocole, dans l’ordre</w:t>
      </w:r>
    </w:p>
    <w:p>
      <w:pPr>
        <w:spacing w:before="0" w:after="100"/>
      </w:pPr>
      <w:r>
        <w:rPr>
          <w:b w:val="0"/>
          <w:i/>
          <w:color w:val="A0842E"/>
          <w:sz w:val="19"/>
        </w:rPr>
        <w:t>Articles L.1152-2 à L.1152-4</w:t>
      </w:r>
    </w:p>
    <w:p>
      <w:pPr>
        <w:spacing w:before="0" w:after="100"/>
      </w:pPr>
      <w:r>
        <w:rPr>
          <w:b w:val="0"/>
          <w:i w:val="0"/>
          <w:sz w:val="21"/>
        </w:rPr>
        <w:t>Jour J : accusé de réception écrit, entretien de recueil sous quarante-huit heures, faits écrits et datés sans qualification, évaluation de l’urgence — si la santé est en jeu, saisine du service de santé au travail le jour même.</w:t>
      </w:r>
    </w:p>
    <w:p>
      <w:pPr>
        <w:spacing w:before="0" w:after="100"/>
      </w:pPr>
      <w:r>
        <w:rPr>
          <w:b w:val="0"/>
          <w:i w:val="0"/>
          <w:sz w:val="21"/>
        </w:rPr>
        <w:t>J+2 à J+8 : mesures conservatoires. Séparer sans sanctionner, ne jamais déplacer la victime contre son gré.</w:t>
      </w:r>
    </w:p>
    <w:p>
      <w:pPr>
        <w:spacing w:before="0" w:after="100"/>
      </w:pPr>
      <w:r>
        <w:rPr>
          <w:b w:val="0"/>
          <w:i w:val="0"/>
          <w:sz w:val="21"/>
        </w:rPr>
        <w:t>J+8 : décider de la suite — enquête, ou mesures suffisantes sans enquête, et dans ce second cas écrire pourquoi.</w:t>
      </w:r>
    </w:p>
    <w:p>
      <w:pPr>
        <w:spacing w:before="0" w:after="100"/>
      </w:pPr>
      <w:r>
        <w:rPr>
          <w:b w:val="0"/>
          <w:i w:val="0"/>
          <w:sz w:val="21"/>
        </w:rPr>
        <w:t>J+30 à J+45 : l’enquête, si elle est menée. Délai annoncé et tenu.</w:t>
      </w:r>
    </w:p>
    <w:p>
      <w:pPr>
        <w:spacing w:before="0" w:after="100"/>
      </w:pPr>
      <w:r>
        <w:rPr>
          <w:b w:val="0"/>
          <w:i w:val="0"/>
          <w:sz w:val="21"/>
        </w:rPr>
        <w:t>À l’issue : décision motivée, écrite, notifiée aux deux parties.</w:t>
      </w:r>
    </w:p>
    <w:p>
      <w:pPr>
        <w:spacing w:before="0" w:after="100"/>
      </w:pPr>
      <w:r>
        <w:rPr>
          <w:b w:val="0"/>
          <w:i w:val="0"/>
          <w:sz w:val="21"/>
        </w:rPr>
        <w:t>J+90 : suivi écrit. Vérifier que rien n’a repris et qu’aucune mesure défavorable n’a suivi la dénonciation — c’est là que se joue la nullité d’un licenciement ultérieur.</w:t>
      </w:r>
    </w:p>
    <w:p>
      <w:pPr>
        <w:spacing w:after="80"/>
      </w:pPr>
      <w:r>
        <w:rPr>
          <w:b/>
          <w:sz w:val="20"/>
        </w:rPr>
        <w:t xml:space="preserve">Pièces à conserver : </w:t>
      </w:r>
      <w:r>
        <w:rPr>
          <w:color w:val="555555"/>
          <w:sz w:val="20"/>
        </w:rPr>
        <w:t>Accusé de réception · Comptes rendus d’audition signés · Rapport d’enquête · Décision motivée notifiée · Compte rendu de suivi à trois mois</w:t>
      </w:r>
    </w:p>
    <w:p>
      <w:r>
        <w:br w:type="page"/>
      </w:r>
    </w:p>
    <w:p>
      <w:pPr>
        <w:spacing w:before="0" w:after="80"/>
      </w:pPr>
      <w:r>
        <w:rPr>
          <w:b/>
          <w:i w:val="0"/>
          <w:color w:val="1F3B57"/>
          <w:sz w:val="32"/>
        </w:rPr>
        <w:t>Calendrier type sur douze mois</w:t>
      </w:r>
    </w:p>
    <w:p>
      <w:pPr>
        <w:spacing w:after="160"/>
        <w:pBdr>
          <w:bottom w:val="single" w:sz="8" w:color="C9A84C"/>
        </w:pBdr>
      </w:pPr>
    </w:p>
    <w:tbl>
      <w:tblPr>
        <w:tblStyle w:val="TableGrid"/>
        <w:tblW w:type="auto" w:w="0"/>
        <w:tblLook w:firstColumn="1" w:firstRow="1" w:lastColumn="0" w:lastRow="0" w:noHBand="0" w:noVBand="1" w:val="04A0"/>
      </w:tblPr>
      <w:tblGrid>
        <w:gridCol w:w="1474"/>
        <w:gridCol w:w="7654"/>
      </w:tblGrid>
      <w:tr>
        <w:tc>
          <w:tcPr>
            <w:tcW w:type="dxa" w:w="4873"/>
          </w:tcPr>
          <w:p>
            <w:r/>
            <w:r>
              <w:rPr>
                <w:b/>
                <w:sz w:val="19"/>
              </w:rPr>
              <w:t>Échéance</w:t>
            </w:r>
          </w:p>
        </w:tc>
        <w:tc>
          <w:tcPr>
            <w:tcW w:type="dxa" w:w="4873"/>
          </w:tcPr>
          <w:p>
            <w:r/>
            <w:r>
              <w:rPr>
                <w:b/>
                <w:sz w:val="19"/>
              </w:rPr>
              <w:t>Action</w:t>
            </w:r>
          </w:p>
        </w:tc>
      </w:tr>
      <w:tr>
        <w:tc>
          <w:tcPr>
            <w:tcW w:type="dxa" w:w="4873"/>
          </w:tcPr>
          <w:p>
            <w:r>
              <w:rPr>
                <w:b/>
                <w:sz w:val="19"/>
              </w:rPr>
              <w:t>Mois 1</w:t>
            </w:r>
          </w:p>
        </w:tc>
        <w:tc>
          <w:tcPr>
            <w:tcW w:type="dxa" w:w="4873"/>
          </w:tcPr>
          <w:p>
            <w:r>
              <w:rPr>
                <w:sz w:val="19"/>
              </w:rPr>
              <w:t>Diagnostic des douze points. Désignation des référents si elle manque. Ouverture du registre.</w:t>
            </w:r>
          </w:p>
        </w:tc>
      </w:tr>
      <w:tr>
        <w:tc>
          <w:tcPr>
            <w:tcW w:type="dxa" w:w="4873"/>
          </w:tcPr>
          <w:p>
            <w:r>
              <w:rPr>
                <w:b/>
                <w:sz w:val="19"/>
              </w:rPr>
              <w:t>Mois 2</w:t>
            </w:r>
          </w:p>
        </w:tc>
        <w:tc>
          <w:tcPr>
            <w:tcW w:type="dxa" w:w="4873"/>
          </w:tcPr>
          <w:p>
            <w:r>
              <w:rPr>
                <w:sz w:val="19"/>
              </w:rPr>
              <w:t>Écriture de la procédure de signalement. Mise à jour du règlement intérieur, consultation du comité.</w:t>
            </w:r>
          </w:p>
        </w:tc>
      </w:tr>
      <w:tr>
        <w:tc>
          <w:tcPr>
            <w:tcW w:type="dxa" w:w="4873"/>
          </w:tcPr>
          <w:p>
            <w:r>
              <w:rPr>
                <w:b/>
                <w:sz w:val="19"/>
              </w:rPr>
              <w:t>Mois 3</w:t>
            </w:r>
          </w:p>
        </w:tc>
        <w:tc>
          <w:tcPr>
            <w:tcW w:type="dxa" w:w="4873"/>
          </w:tcPr>
          <w:p>
            <w:r>
              <w:rPr>
                <w:sz w:val="19"/>
              </w:rPr>
              <w:t>Formation des référents — deux jours.</w:t>
            </w:r>
          </w:p>
        </w:tc>
      </w:tr>
      <w:tr>
        <w:tc>
          <w:tcPr>
            <w:tcW w:type="dxa" w:w="4873"/>
          </w:tcPr>
          <w:p>
            <w:r>
              <w:rPr>
                <w:b/>
                <w:sz w:val="19"/>
              </w:rPr>
              <w:t>Mois 3</w:t>
            </w:r>
          </w:p>
        </w:tc>
        <w:tc>
          <w:tcPr>
            <w:tcW w:type="dxa" w:w="4873"/>
          </w:tcPr>
          <w:p>
            <w:r>
              <w:rPr>
                <w:sz w:val="19"/>
              </w:rPr>
              <w:t>Affichage mis en place sur tous les sites, photographies datées.</w:t>
            </w:r>
          </w:p>
        </w:tc>
      </w:tr>
      <w:tr>
        <w:tc>
          <w:tcPr>
            <w:tcW w:type="dxa" w:w="4873"/>
          </w:tcPr>
          <w:p>
            <w:r>
              <w:rPr>
                <w:b/>
                <w:sz w:val="19"/>
              </w:rPr>
              <w:t>Mois 4 à 6</w:t>
            </w:r>
          </w:p>
        </w:tc>
        <w:tc>
          <w:tcPr>
            <w:tcW w:type="dxa" w:w="4873"/>
          </w:tcPr>
          <w:p>
            <w:r>
              <w:rPr>
                <w:sz w:val="19"/>
              </w:rPr>
              <w:t>Formation de l’encadrement — une journée par session de douze à quinze.</w:t>
            </w:r>
          </w:p>
        </w:tc>
      </w:tr>
      <w:tr>
        <w:tc>
          <w:tcPr>
            <w:tcW w:type="dxa" w:w="4873"/>
          </w:tcPr>
          <w:p>
            <w:r>
              <w:rPr>
                <w:b/>
                <w:sz w:val="19"/>
              </w:rPr>
              <w:t>Mois 5</w:t>
            </w:r>
          </w:p>
        </w:tc>
        <w:tc>
          <w:tcPr>
            <w:tcW w:type="dxa" w:w="4873"/>
          </w:tcPr>
          <w:p>
            <w:r>
              <w:rPr>
                <w:sz w:val="19"/>
              </w:rPr>
              <w:t>Mise à jour du document unique, volet risques psychosociaux, avec consultation du comité.</w:t>
            </w:r>
          </w:p>
        </w:tc>
      </w:tr>
      <w:tr>
        <w:tc>
          <w:tcPr>
            <w:tcW w:type="dxa" w:w="4873"/>
          </w:tcPr>
          <w:p>
            <w:r>
              <w:rPr>
                <w:b/>
                <w:sz w:val="19"/>
              </w:rPr>
              <w:t>Mois 6 à 8</w:t>
            </w:r>
          </w:p>
        </w:tc>
        <w:tc>
          <w:tcPr>
            <w:tcW w:type="dxa" w:w="4873"/>
          </w:tcPr>
          <w:p>
            <w:r>
              <w:rPr>
                <w:sz w:val="19"/>
              </w:rPr>
              <w:t>Information de l’ensemble des salariés — une heure trente par groupe.</w:t>
            </w:r>
          </w:p>
        </w:tc>
      </w:tr>
      <w:tr>
        <w:tc>
          <w:tcPr>
            <w:tcW w:type="dxa" w:w="4873"/>
          </w:tcPr>
          <w:p>
            <w:r>
              <w:rPr>
                <w:b/>
                <w:sz w:val="19"/>
              </w:rPr>
              <w:t>Mois 7</w:t>
            </w:r>
          </w:p>
        </w:tc>
        <w:tc>
          <w:tcPr>
            <w:tcW w:type="dxa" w:w="4873"/>
          </w:tcPr>
          <w:p>
            <w:r>
              <w:rPr>
                <w:sz w:val="19"/>
              </w:rPr>
              <w:t>Intégration de la notice au livret d’accueil ; premier contrôle mensuel des entrants.</w:t>
            </w:r>
          </w:p>
        </w:tc>
      </w:tr>
      <w:tr>
        <w:tc>
          <w:tcPr>
            <w:tcW w:type="dxa" w:w="4873"/>
          </w:tcPr>
          <w:p>
            <w:r>
              <w:rPr>
                <w:b/>
                <w:sz w:val="19"/>
              </w:rPr>
              <w:t>Mois 9</w:t>
            </w:r>
          </w:p>
        </w:tc>
        <w:tc>
          <w:tcPr>
            <w:tcW w:type="dxa" w:w="4873"/>
          </w:tcPr>
          <w:p>
            <w:r>
              <w:rPr>
                <w:sz w:val="19"/>
              </w:rPr>
              <w:t>Dépôt du règlement intérieur au greffe, transmission à l’inspection du travail.</w:t>
            </w:r>
          </w:p>
        </w:tc>
      </w:tr>
      <w:tr>
        <w:tc>
          <w:tcPr>
            <w:tcW w:type="dxa" w:w="4873"/>
          </w:tcPr>
          <w:p>
            <w:r>
              <w:rPr>
                <w:b/>
                <w:sz w:val="19"/>
              </w:rPr>
              <w:t>Mois 12</w:t>
            </w:r>
          </w:p>
        </w:tc>
        <w:tc>
          <w:tcPr>
            <w:tcW w:type="dxa" w:w="4873"/>
          </w:tcPr>
          <w:p>
            <w:r>
              <w:rPr>
                <w:sz w:val="19"/>
              </w:rPr>
              <w:t>Bilan annuel du registre. Consultation du comité. Édition du dossier de preuve.</w:t>
            </w:r>
          </w:p>
        </w:tc>
      </w:tr>
      <w:tr>
        <w:tc>
          <w:tcPr>
            <w:tcW w:type="dxa" w:w="4873"/>
          </w:tcPr>
          <w:p>
            <w:r>
              <w:rPr>
                <w:b/>
                <w:sz w:val="19"/>
              </w:rPr>
              <w:t>Puis</w:t>
            </w:r>
          </w:p>
        </w:tc>
        <w:tc>
          <w:tcPr>
            <w:tcW w:type="dxa" w:w="4873"/>
          </w:tcPr>
          <w:p>
            <w:r>
              <w:rPr>
                <w:sz w:val="19"/>
              </w:rPr>
              <w:t>Rappel de deux heures pour l’encadrement tous les deux ans. Information annuelle pour tous. Contrôle semestriel de l’affichage. Mise à jour annuelle du document unique.</w:t>
            </w:r>
          </w:p>
        </w:tc>
      </w:tr>
    </w:tbl>
    <w:p>
      <w:pPr>
        <w:spacing w:before="240" w:after="120"/>
      </w:pPr>
      <w:r>
        <w:rPr>
          <w:b w:val="0"/>
          <w:i/>
          <w:color w:val="555555"/>
          <w:sz w:val="19"/>
        </w:rPr>
        <w:t>Ce calendrier n’est pas une contrainte réglementaire : c’est l’ordre dans lequel les actions se tiennent le mieux. Ce qui compte devant le juge, c’est que chacune soit datée et prouvée.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