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i w:val="0"/>
          <w:color w:val="1F3B57"/>
          <w:sz w:val="40"/>
        </w:rPr>
        <w:t>PRÉVENTION DU HARCÈLEMENT MORAL ET SEXUEL</w:t>
      </w:r>
    </w:p>
    <w:p>
      <w:pPr>
        <w:spacing w:before="0" w:after="600"/>
        <w:jc w:val="center"/>
      </w:pPr>
      <w:r>
        <w:rPr>
          <w:b w:val="0"/>
          <w:i/>
          <w:color w:val="A0842E"/>
          <w:sz w:val="28"/>
        </w:rPr>
        <w:t>Les douze actions, et le contenu détaillé de chacune</w:t>
      </w:r>
    </w:p>
    <w:p>
      <w:pPr>
        <w:spacing w:after="160"/>
        <w:pBdr>
          <w:bottom w:val="single" w:sz="8" w:color="C9A84C"/>
        </w:pBdr>
      </w:pPr>
    </w:p>
    <w:p>
      <w:pPr>
        <w:spacing w:before="200" w:after="160"/>
      </w:pPr>
      <w:r>
        <w:rPr>
          <w:b w:val="0"/>
          <w:i w:val="0"/>
          <w:sz w:val="22"/>
        </w:rPr>
        <w:t>Ce document contient les douze actions que l’employeur doit pouvoir prouver, numérotées de 1 à 12, et le contenu détaillé de chacune : ce qui est fait, ce qui est dit, pendant combien de temps, avec quel exercice, et ce qui est signé. Les actions 7, 8 et 9 sont les trois programmes de formation et d’information ; elles sont développées module par module.</w:t>
      </w:r>
    </w:p>
    <w:p>
      <w:pPr>
        <w:spacing w:before="0" w:after="160"/>
      </w:pPr>
      <w:r>
        <w:rPr>
          <w:b w:val="0"/>
          <w:i w:val="0"/>
          <w:sz w:val="22"/>
        </w:rPr>
        <w:t>Il est construit sur une règle simple : depuis l’arrêt Air France du 25 novembre 2015 (n° 14-24.444), transposé au harcèlement moral le 1er juin 2016 (n° 14-19.702), l’employeur ne se dégage de sa responsabilité que s’il justifie CUMULATIVEMENT d’actions d’information et de formation menées en amont, et d’une réaction immédiate en aval. La seule procédure d’alerte inscrite au règlement intérieur ne suffit pas. L’enquête interne non plus : elle n’est même pas obligatoire en soi (Cass. soc., 12 juin 2024, n° 23-13.975).</w:t>
      </w:r>
    </w:p>
    <w:p>
      <w:pPr>
        <w:spacing w:before="0" w:after="600"/>
      </w:pPr>
      <w:r>
        <w:rPr>
          <w:b/>
          <w:i w:val="0"/>
          <w:sz w:val="22"/>
        </w:rPr>
        <w:t>Ce qui n’est pas prouvé n’a pas été fait. Chaque action se termine donc par la liste des pièces qu’elle produit.</w:t>
      </w:r>
    </w:p>
    <w:p>
      <w:pPr>
        <w:spacing w:before="400" w:after="160"/>
      </w:pPr>
      <w:r>
        <w:rPr>
          <w:b w:val="0"/>
          <w:i w:val="0"/>
          <w:color w:val="555555"/>
          <w:sz w:val="21"/>
        </w:rPr>
        <w:t>Entreprise : ______________________________________</w:t>
      </w:r>
    </w:p>
    <w:p>
      <w:pPr>
        <w:spacing w:before="0" w:after="160"/>
      </w:pPr>
      <w:r>
        <w:rPr>
          <w:b w:val="0"/>
          <w:i w:val="0"/>
          <w:color w:val="555555"/>
          <w:sz w:val="21"/>
        </w:rPr>
        <w:t>Établi le : ________________     Par : ________________________</w:t>
      </w:r>
    </w:p>
    <w:p>
      <w:r>
        <w:br w:type="page"/>
      </w:r>
    </w:p>
    <w:p>
      <w:pPr>
        <w:spacing w:before="0" w:after="80"/>
      </w:pPr>
      <w:r>
        <w:rPr>
          <w:b/>
          <w:i w:val="0"/>
          <w:color w:val="1F3B57"/>
          <w:sz w:val="32"/>
        </w:rPr>
        <w:t>Les douze actions</w:t>
      </w:r>
    </w:p>
    <w:p>
      <w:pPr>
        <w:spacing w:after="160"/>
        <w:pBdr>
          <w:bottom w:val="single" w:sz="8" w:color="C9A84C"/>
        </w:pBdr>
      </w:pPr>
    </w:p>
    <w:p>
      <w:pPr>
        <w:spacing w:before="120" w:after="80"/>
      </w:pPr>
      <w:r>
        <w:rPr>
          <w:b w:val="0"/>
          <w:i w:val="0"/>
          <w:sz w:val="21"/>
        </w:rPr>
        <w:t>Ce tableau est la liste complète. Chaque ligne renvoie au chapitre du même numéro, où l’action est développée.</w:t>
      </w:r>
    </w:p>
    <w:p>
      <w:pPr>
        <w:spacing w:before="0" w:after="200"/>
      </w:pPr>
      <w:r>
        <w:rPr>
          <w:b/>
          <w:i w:val="0"/>
          <w:sz w:val="21"/>
        </w:rPr>
        <w:t>La dernière colonne est celle qui compte : sans la pièce, l’action est réputée non faite.</w:t>
      </w:r>
    </w:p>
    <w:tbl>
      <w:tblPr>
        <w:tblStyle w:val="TableGrid"/>
        <w:tblW w:type="auto" w:w="0"/>
        <w:tblLook w:firstColumn="1" w:firstRow="1" w:lastColumn="0" w:lastRow="0" w:noHBand="0" w:noVBand="1" w:val="04A0"/>
      </w:tblPr>
      <w:tblGrid>
        <w:gridCol w:w="567"/>
        <w:gridCol w:w="3628"/>
        <w:gridCol w:w="2041"/>
        <w:gridCol w:w="3118"/>
      </w:tblGrid>
      <w:tr>
        <w:tc>
          <w:tcPr>
            <w:tcW w:type="dxa" w:w="2436"/>
          </w:tcPr>
          <w:p>
            <w:r/>
            <w:r>
              <w:rPr>
                <w:b/>
                <w:sz w:val="19"/>
              </w:rPr>
              <w:t>N°</w:t>
            </w:r>
          </w:p>
        </w:tc>
        <w:tc>
          <w:tcPr>
            <w:tcW w:type="dxa" w:w="2436"/>
          </w:tcPr>
          <w:p>
            <w:r/>
            <w:r>
              <w:rPr>
                <w:b/>
                <w:sz w:val="19"/>
              </w:rPr>
              <w:t>L’action</w:t>
            </w:r>
          </w:p>
        </w:tc>
        <w:tc>
          <w:tcPr>
            <w:tcW w:type="dxa" w:w="2436"/>
          </w:tcPr>
          <w:p>
            <w:r/>
            <w:r>
              <w:rPr>
                <w:b/>
                <w:sz w:val="19"/>
              </w:rPr>
              <w:t>Article</w:t>
            </w:r>
          </w:p>
        </w:tc>
        <w:tc>
          <w:tcPr>
            <w:tcW w:type="dxa" w:w="2436"/>
          </w:tcPr>
          <w:p>
            <w:r/>
            <w:r>
              <w:rPr>
                <w:b/>
                <w:sz w:val="19"/>
              </w:rPr>
              <w:t>La pièce qui la prouve</w:t>
            </w:r>
          </w:p>
        </w:tc>
      </w:tr>
      <w:tr>
        <w:tc>
          <w:tcPr>
            <w:tcW w:type="dxa" w:w="2436"/>
          </w:tcPr>
          <w:p>
            <w:r>
              <w:rPr>
                <w:b/>
                <w:color w:val="1F3B57"/>
                <w:sz w:val="19"/>
              </w:rPr>
              <w:t>1</w:t>
            </w:r>
          </w:p>
        </w:tc>
        <w:tc>
          <w:tcPr>
            <w:tcW w:type="dxa" w:w="2436"/>
          </w:tcPr>
          <w:p>
            <w:r>
              <w:rPr>
                <w:b/>
                <w:sz w:val="19"/>
              </w:rPr>
              <w:t>Inscrire le risque au document unique</w:t>
            </w:r>
          </w:p>
        </w:tc>
        <w:tc>
          <w:tcPr>
            <w:tcW w:type="dxa" w:w="2436"/>
          </w:tcPr>
          <w:p>
            <w:r>
              <w:rPr>
                <w:sz w:val="18"/>
              </w:rPr>
              <w:t>L.4121-3 et R.4121-1</w:t>
            </w:r>
          </w:p>
        </w:tc>
        <w:tc>
          <w:tcPr>
            <w:tcW w:type="dxa" w:w="2436"/>
          </w:tcPr>
          <w:p>
            <w:r>
              <w:rPr>
                <w:color w:val="555555"/>
                <w:sz w:val="18"/>
              </w:rPr>
              <w:t>Document unique daté, volet risques psychosociaux</w:t>
            </w:r>
          </w:p>
        </w:tc>
      </w:tr>
      <w:tr>
        <w:tc>
          <w:tcPr>
            <w:tcW w:type="dxa" w:w="2436"/>
          </w:tcPr>
          <w:p>
            <w:r>
              <w:rPr>
                <w:b/>
                <w:color w:val="1F3B57"/>
                <w:sz w:val="19"/>
              </w:rPr>
              <w:t>2</w:t>
            </w:r>
          </w:p>
        </w:tc>
        <w:tc>
          <w:tcPr>
            <w:tcW w:type="dxa" w:w="2436"/>
          </w:tcPr>
          <w:p>
            <w:r>
              <w:rPr>
                <w:b/>
                <w:sz w:val="19"/>
              </w:rPr>
              <w:t>Afficher les textes et les voies de recours</w:t>
            </w:r>
          </w:p>
        </w:tc>
        <w:tc>
          <w:tcPr>
            <w:tcW w:type="dxa" w:w="2436"/>
          </w:tcPr>
          <w:p>
            <w:r>
              <w:rPr>
                <w:sz w:val="18"/>
              </w:rPr>
              <w:t>L.1152-4 et L.1153-5</w:t>
            </w:r>
          </w:p>
        </w:tc>
        <w:tc>
          <w:tcPr>
            <w:tcW w:type="dxa" w:w="2436"/>
          </w:tcPr>
          <w:p>
            <w:r>
              <w:rPr>
                <w:color w:val="555555"/>
                <w:sz w:val="18"/>
              </w:rPr>
              <w:t>Photographies datées de l’affichage, par site</w:t>
            </w:r>
          </w:p>
        </w:tc>
      </w:tr>
      <w:tr>
        <w:tc>
          <w:tcPr>
            <w:tcW w:type="dxa" w:w="2436"/>
          </w:tcPr>
          <w:p>
            <w:r>
              <w:rPr>
                <w:b/>
                <w:color w:val="1F3B57"/>
                <w:sz w:val="19"/>
              </w:rPr>
              <w:t>3</w:t>
            </w:r>
          </w:p>
        </w:tc>
        <w:tc>
          <w:tcPr>
            <w:tcW w:type="dxa" w:w="2436"/>
          </w:tcPr>
          <w:p>
            <w:r>
              <w:rPr>
                <w:b/>
                <w:sz w:val="19"/>
              </w:rPr>
              <w:t>Compléter le règlement intérieur</w:t>
            </w:r>
          </w:p>
        </w:tc>
        <w:tc>
          <w:tcPr>
            <w:tcW w:type="dxa" w:w="2436"/>
          </w:tcPr>
          <w:p>
            <w:r>
              <w:rPr>
                <w:sz w:val="18"/>
              </w:rPr>
              <w:t>L.1321-2</w:t>
            </w:r>
          </w:p>
        </w:tc>
        <w:tc>
          <w:tcPr>
            <w:tcW w:type="dxa" w:w="2436"/>
          </w:tcPr>
          <w:p>
            <w:r>
              <w:rPr>
                <w:color w:val="555555"/>
                <w:sz w:val="18"/>
              </w:rPr>
              <w:t>Récépissé de dépôt au greffe</w:t>
            </w:r>
          </w:p>
        </w:tc>
      </w:tr>
      <w:tr>
        <w:tc>
          <w:tcPr>
            <w:tcW w:type="dxa" w:w="2436"/>
          </w:tcPr>
          <w:p>
            <w:r>
              <w:rPr>
                <w:b/>
                <w:color w:val="1F3B57"/>
                <w:sz w:val="19"/>
              </w:rPr>
              <w:t>4</w:t>
            </w:r>
          </w:p>
        </w:tc>
        <w:tc>
          <w:tcPr>
            <w:tcW w:type="dxa" w:w="2436"/>
          </w:tcPr>
          <w:p>
            <w:r>
              <w:rPr>
                <w:b/>
                <w:sz w:val="19"/>
              </w:rPr>
              <w:t>Faire désigner le référent du comité</w:t>
            </w:r>
          </w:p>
        </w:tc>
        <w:tc>
          <w:tcPr>
            <w:tcW w:type="dxa" w:w="2436"/>
          </w:tcPr>
          <w:p>
            <w:r>
              <w:rPr>
                <w:sz w:val="18"/>
              </w:rPr>
              <w:t>L.2314-1, dernier alinéa</w:t>
            </w:r>
          </w:p>
        </w:tc>
        <w:tc>
          <w:tcPr>
            <w:tcW w:type="dxa" w:w="2436"/>
          </w:tcPr>
          <w:p>
            <w:r>
              <w:rPr>
                <w:color w:val="555555"/>
                <w:sz w:val="18"/>
              </w:rPr>
              <w:t>Extrait du procès-verbal de désignation</w:t>
            </w:r>
          </w:p>
        </w:tc>
      </w:tr>
      <w:tr>
        <w:tc>
          <w:tcPr>
            <w:tcW w:type="dxa" w:w="2436"/>
          </w:tcPr>
          <w:p>
            <w:r>
              <w:rPr>
                <w:b/>
                <w:color w:val="1F3B57"/>
                <w:sz w:val="19"/>
              </w:rPr>
              <w:t>5</w:t>
            </w:r>
          </w:p>
        </w:tc>
        <w:tc>
          <w:tcPr>
            <w:tcW w:type="dxa" w:w="2436"/>
          </w:tcPr>
          <w:p>
            <w:r>
              <w:rPr>
                <w:b/>
                <w:sz w:val="19"/>
              </w:rPr>
              <w:t>Désigner le référent de l’employeur (≥ 250 salariés)</w:t>
            </w:r>
          </w:p>
        </w:tc>
        <w:tc>
          <w:tcPr>
            <w:tcW w:type="dxa" w:w="2436"/>
          </w:tcPr>
          <w:p>
            <w:r>
              <w:rPr>
                <w:sz w:val="18"/>
              </w:rPr>
              <w:t>L.1153-5-1</w:t>
            </w:r>
          </w:p>
        </w:tc>
        <w:tc>
          <w:tcPr>
            <w:tcW w:type="dxa" w:w="2436"/>
          </w:tcPr>
          <w:p>
            <w:r>
              <w:rPr>
                <w:color w:val="555555"/>
                <w:sz w:val="18"/>
              </w:rPr>
              <w:t>Note de désignation et lettre de mission</w:t>
            </w:r>
          </w:p>
        </w:tc>
      </w:tr>
      <w:tr>
        <w:tc>
          <w:tcPr>
            <w:tcW w:type="dxa" w:w="2436"/>
          </w:tcPr>
          <w:p>
            <w:r>
              <w:rPr>
                <w:b/>
                <w:color w:val="1F3B57"/>
                <w:sz w:val="19"/>
              </w:rPr>
              <w:t>6</w:t>
            </w:r>
          </w:p>
        </w:tc>
        <w:tc>
          <w:tcPr>
            <w:tcW w:type="dxa" w:w="2436"/>
          </w:tcPr>
          <w:p>
            <w:r>
              <w:rPr>
                <w:b/>
                <w:sz w:val="19"/>
              </w:rPr>
              <w:t>Écrire et diffuser la procédure de signalement</w:t>
            </w:r>
          </w:p>
        </w:tc>
        <w:tc>
          <w:tcPr>
            <w:tcW w:type="dxa" w:w="2436"/>
          </w:tcPr>
          <w:p>
            <w:r>
              <w:rPr>
                <w:sz w:val="18"/>
              </w:rPr>
              <w:t>L.1152-2, L.1152-4, L.4121-1 (3°)</w:t>
            </w:r>
          </w:p>
        </w:tc>
        <w:tc>
          <w:tcPr>
            <w:tcW w:type="dxa" w:w="2436"/>
          </w:tcPr>
          <w:p>
            <w:r>
              <w:rPr>
                <w:color w:val="555555"/>
                <w:sz w:val="18"/>
              </w:rPr>
              <w:t>Preuve de diffusion horodatée</w:t>
            </w:r>
          </w:p>
        </w:tc>
      </w:tr>
      <w:tr>
        <w:tc>
          <w:tcPr>
            <w:tcW w:type="dxa" w:w="2436"/>
          </w:tcPr>
          <w:p>
            <w:r>
              <w:rPr>
                <w:b/>
                <w:color w:val="1F3B57"/>
                <w:sz w:val="19"/>
              </w:rPr>
              <w:t>7</w:t>
            </w:r>
          </w:p>
        </w:tc>
        <w:tc>
          <w:tcPr>
            <w:tcW w:type="dxa" w:w="2436"/>
          </w:tcPr>
          <w:p>
            <w:r>
              <w:rPr>
                <w:b/>
                <w:sz w:val="19"/>
              </w:rPr>
              <w:t>Former les dirigeants et l’encadrement — programme, 7 h</w:t>
            </w:r>
          </w:p>
        </w:tc>
        <w:tc>
          <w:tcPr>
            <w:tcW w:type="dxa" w:w="2436"/>
          </w:tcPr>
          <w:p>
            <w:r>
              <w:rPr>
                <w:sz w:val="18"/>
              </w:rPr>
              <w:t>L.4121-1 (2°)</w:t>
            </w:r>
          </w:p>
        </w:tc>
        <w:tc>
          <w:tcPr>
            <w:tcW w:type="dxa" w:w="2436"/>
          </w:tcPr>
          <w:p>
            <w:r>
              <w:rPr>
                <w:color w:val="555555"/>
                <w:sz w:val="18"/>
              </w:rPr>
              <w:t>Feuille d’émargement et questionnaire corrigé</w:t>
            </w:r>
          </w:p>
        </w:tc>
      </w:tr>
      <w:tr>
        <w:tc>
          <w:tcPr>
            <w:tcW w:type="dxa" w:w="2436"/>
          </w:tcPr>
          <w:p>
            <w:r>
              <w:rPr>
                <w:b/>
                <w:color w:val="1F3B57"/>
                <w:sz w:val="19"/>
              </w:rPr>
              <w:t>8</w:t>
            </w:r>
          </w:p>
        </w:tc>
        <w:tc>
          <w:tcPr>
            <w:tcW w:type="dxa" w:w="2436"/>
          </w:tcPr>
          <w:p>
            <w:r>
              <w:rPr>
                <w:b/>
                <w:sz w:val="19"/>
              </w:rPr>
              <w:t>Former les référents — programme, 14 h</w:t>
            </w:r>
          </w:p>
        </w:tc>
        <w:tc>
          <w:tcPr>
            <w:tcW w:type="dxa" w:w="2436"/>
          </w:tcPr>
          <w:p>
            <w:r>
              <w:rPr>
                <w:sz w:val="18"/>
              </w:rPr>
              <w:t>L.2315-18 et L.4121-1 (2°)</w:t>
            </w:r>
          </w:p>
        </w:tc>
        <w:tc>
          <w:tcPr>
            <w:tcW w:type="dxa" w:w="2436"/>
          </w:tcPr>
          <w:p>
            <w:r>
              <w:rPr>
                <w:color w:val="555555"/>
                <w:sz w:val="18"/>
              </w:rPr>
              <w:t>Attestation individuelle de formation</w:t>
            </w:r>
          </w:p>
        </w:tc>
      </w:tr>
      <w:tr>
        <w:tc>
          <w:tcPr>
            <w:tcW w:type="dxa" w:w="2436"/>
          </w:tcPr>
          <w:p>
            <w:r>
              <w:rPr>
                <w:b/>
                <w:color w:val="1F3B57"/>
                <w:sz w:val="19"/>
              </w:rPr>
              <w:t>9</w:t>
            </w:r>
          </w:p>
        </w:tc>
        <w:tc>
          <w:tcPr>
            <w:tcW w:type="dxa" w:w="2436"/>
          </w:tcPr>
          <w:p>
            <w:r>
              <w:rPr>
                <w:b/>
                <w:sz w:val="19"/>
              </w:rPr>
              <w:t>Informer l’ensemble des salariés — programme, 1 h 30</w:t>
            </w:r>
          </w:p>
        </w:tc>
        <w:tc>
          <w:tcPr>
            <w:tcW w:type="dxa" w:w="2436"/>
          </w:tcPr>
          <w:p>
            <w:r>
              <w:rPr>
                <w:sz w:val="18"/>
              </w:rPr>
              <w:t>L.4121-1 (2°)</w:t>
            </w:r>
          </w:p>
        </w:tc>
        <w:tc>
          <w:tcPr>
            <w:tcW w:type="dxa" w:w="2436"/>
          </w:tcPr>
          <w:p>
            <w:r>
              <w:rPr>
                <w:color w:val="555555"/>
                <w:sz w:val="18"/>
              </w:rPr>
              <w:t>Émargement ou accusé de lecture horodaté</w:t>
            </w:r>
          </w:p>
        </w:tc>
      </w:tr>
      <w:tr>
        <w:tc>
          <w:tcPr>
            <w:tcW w:type="dxa" w:w="2436"/>
          </w:tcPr>
          <w:p>
            <w:r>
              <w:rPr>
                <w:b/>
                <w:color w:val="1F3B57"/>
                <w:sz w:val="19"/>
              </w:rPr>
              <w:t>10</w:t>
            </w:r>
          </w:p>
        </w:tc>
        <w:tc>
          <w:tcPr>
            <w:tcW w:type="dxa" w:w="2436"/>
          </w:tcPr>
          <w:p>
            <w:r>
              <w:rPr>
                <w:b/>
                <w:sz w:val="19"/>
              </w:rPr>
              <w:t>Informer à l’embauche</w:t>
            </w:r>
          </w:p>
        </w:tc>
        <w:tc>
          <w:tcPr>
            <w:tcW w:type="dxa" w:w="2436"/>
          </w:tcPr>
          <w:p>
            <w:r>
              <w:rPr>
                <w:sz w:val="18"/>
              </w:rPr>
              <w:t>L.4121-1 (2°)</w:t>
            </w:r>
          </w:p>
        </w:tc>
        <w:tc>
          <w:tcPr>
            <w:tcW w:type="dxa" w:w="2436"/>
          </w:tcPr>
          <w:p>
            <w:r>
              <w:rPr>
                <w:color w:val="555555"/>
                <w:sz w:val="18"/>
              </w:rPr>
              <w:t>Notice émargée, et contrôle mensuel des entrants</w:t>
            </w:r>
          </w:p>
        </w:tc>
      </w:tr>
      <w:tr>
        <w:tc>
          <w:tcPr>
            <w:tcW w:type="dxa" w:w="2436"/>
          </w:tcPr>
          <w:p>
            <w:r>
              <w:rPr>
                <w:b/>
                <w:color w:val="1F3B57"/>
                <w:sz w:val="19"/>
              </w:rPr>
              <w:t>11</w:t>
            </w:r>
          </w:p>
        </w:tc>
        <w:tc>
          <w:tcPr>
            <w:tcW w:type="dxa" w:w="2436"/>
          </w:tcPr>
          <w:p>
            <w:r>
              <w:rPr>
                <w:b/>
                <w:sz w:val="19"/>
              </w:rPr>
              <w:t>Tenir le registre des signalements</w:t>
            </w:r>
          </w:p>
        </w:tc>
        <w:tc>
          <w:tcPr>
            <w:tcW w:type="dxa" w:w="2436"/>
          </w:tcPr>
          <w:p>
            <w:r>
              <w:rPr>
                <w:sz w:val="18"/>
              </w:rPr>
              <w:t>L.4121-1 — RGPD</w:t>
            </w:r>
          </w:p>
        </w:tc>
        <w:tc>
          <w:tcPr>
            <w:tcW w:type="dxa" w:w="2436"/>
          </w:tcPr>
          <w:p>
            <w:r>
              <w:rPr>
                <w:color w:val="555555"/>
                <w:sz w:val="18"/>
              </w:rPr>
              <w:t>Registre tenu et bilan annuel</w:t>
            </w:r>
          </w:p>
        </w:tc>
      </w:tr>
      <w:tr>
        <w:tc>
          <w:tcPr>
            <w:tcW w:type="dxa" w:w="2436"/>
          </w:tcPr>
          <w:p>
            <w:r>
              <w:rPr>
                <w:b/>
                <w:color w:val="1F3B57"/>
                <w:sz w:val="19"/>
              </w:rPr>
              <w:t>12</w:t>
            </w:r>
          </w:p>
        </w:tc>
        <w:tc>
          <w:tcPr>
            <w:tcW w:type="dxa" w:w="2436"/>
          </w:tcPr>
          <w:p>
            <w:r>
              <w:rPr>
                <w:b/>
                <w:sz w:val="19"/>
              </w:rPr>
              <w:t>Réagir : le protocole, dans l’ordre</w:t>
            </w:r>
          </w:p>
        </w:tc>
        <w:tc>
          <w:tcPr>
            <w:tcW w:type="dxa" w:w="2436"/>
          </w:tcPr>
          <w:p>
            <w:r>
              <w:rPr>
                <w:sz w:val="18"/>
              </w:rPr>
              <w:t>L.1152-2 à L.1152-4</w:t>
            </w:r>
          </w:p>
        </w:tc>
        <w:tc>
          <w:tcPr>
            <w:tcW w:type="dxa" w:w="2436"/>
          </w:tcPr>
          <w:p>
            <w:r>
              <w:rPr>
                <w:color w:val="555555"/>
                <w:sz w:val="18"/>
              </w:rPr>
              <w:t>Accusé de réception, décision motivée, suivi à trois mois</w:t>
            </w:r>
          </w:p>
        </w:tc>
      </w:tr>
    </w:tbl>
    <w:p>
      <w:pPr>
        <w:spacing w:before="240" w:after="120"/>
      </w:pPr>
      <w:r>
        <w:rPr>
          <w:b w:val="0"/>
          <w:i/>
          <w:color w:val="555555"/>
          <w:sz w:val="20"/>
        </w:rPr>
        <w:t>Les actions 1 à 6 s’écrivent une fois et se tiennent à jour. Les actions 7, 8 et 9 se renouvellent : rappel de deux heures pour l’encadrement tous les deux ans, information annuelle pour tous. Les actions 10, 11 et 12 sont permanentes.</w:t>
      </w:r>
    </w:p>
    <w:p>
      <w:r>
        <w:br w:type="page"/>
      </w:r>
    </w:p>
    <w:p>
      <w:pPr>
        <w:spacing w:before="0" w:after="80"/>
      </w:pPr>
      <w:r>
        <w:rPr>
          <w:b/>
          <w:i w:val="0"/>
          <w:color w:val="1F3B57"/>
          <w:sz w:val="32"/>
        </w:rPr>
        <w:t>Le socle juridique, en une page</w:t>
      </w:r>
    </w:p>
    <w:p>
      <w:pPr>
        <w:spacing w:after="160"/>
        <w:pBdr>
          <w:bottom w:val="single" w:sz="8" w:color="C9A84C"/>
        </w:pBdr>
      </w:pPr>
    </w:p>
    <w:p>
      <w:pPr>
        <w:spacing w:before="120" w:after="80"/>
      </w:pPr>
      <w:r>
        <w:rPr>
          <w:b/>
          <w:i w:val="0"/>
          <w:color w:val="1F3B57"/>
          <w:sz w:val="25"/>
        </w:rPr>
        <w:t>Ce que la loi impose</w:t>
      </w:r>
    </w:p>
    <w:p>
      <w:pPr>
        <w:spacing w:before="0" w:after="120"/>
      </w:pPr>
      <w:r>
        <w:rPr>
          <w:b w:val="0"/>
          <w:i w:val="0"/>
          <w:sz w:val="21"/>
        </w:rPr>
        <w:t>Article L.4121-1. L’employeur prend les mesures nécessaires pour assurer la sécurité et protéger la santé physique et mentale des travailleurs. Ces mesures comprennent des actions de prévention, des actions d’information et de formation, et la mise en place d’une organisation et de moyens adaptés. Il veille à leur adaptation pour tenir compte du changement des circonstances.</w:t>
      </w:r>
    </w:p>
    <w:p>
      <w:pPr>
        <w:spacing w:before="0" w:after="120"/>
      </w:pPr>
      <w:r>
        <w:rPr>
          <w:b w:val="0"/>
          <w:i w:val="0"/>
          <w:sz w:val="21"/>
        </w:rPr>
        <w:t>Article L.4121-2. Neuf principes généraux de prévention. Le 7° vise expressément la planification de la prévention en y intégrant « les risques liés au harcèlement moral et au harcèlement sexuel, tels qu’ils sont définis aux articles L.1152-1 et L.1153-1, ainsi que ceux liés aux agissements sexistes définis à l’article L.1142-2-1 ».</w:t>
      </w:r>
    </w:p>
    <w:p>
      <w:pPr>
        <w:spacing w:before="240" w:after="80"/>
      </w:pPr>
      <w:r>
        <w:rPr>
          <w:b/>
          <w:i w:val="0"/>
          <w:color w:val="1F3B57"/>
          <w:sz w:val="25"/>
        </w:rPr>
        <w:t>Ce que la jurisprudence en tire</w:t>
      </w:r>
    </w:p>
    <w:p>
      <w:pPr>
        <w:spacing w:before="0" w:after="120"/>
      </w:pPr>
      <w:r>
        <w:rPr>
          <w:b w:val="0"/>
          <w:i w:val="0"/>
          <w:sz w:val="21"/>
        </w:rPr>
        <w:t>L’obligation de sécurité était de résultat : la responsabilité de l’employeur était engagée dès le constat du harcèlement, même s’il avait tout fait pour l’éviter. L’arrêt Air France (Cass. soc., 25 novembre 2015, n° 14-24.444) en a fait une obligation de moyens renforcée. La solution a été transposée au harcèlement moral l’année suivante (Cass. soc., 1er juin 2016, n° 14-19.702) : l’employeur s’exonère s’il démontre avoir satisfait à deux exigences — en amont, l’information et la formation ; en aval, une réaction adaptée dès qu’il est informé.</w:t>
      </w:r>
    </w:p>
    <w:p>
      <w:pPr>
        <w:spacing w:before="0" w:after="120"/>
      </w:pPr>
      <w:r>
        <w:rPr>
          <w:b/>
          <w:i w:val="0"/>
          <w:sz w:val="21"/>
        </w:rPr>
        <w:t>Le même arrêt précise que la seule introduction d’une procédure d’alerte dans le règlement intérieur, même mise en œuvre par la victime, est INSUFFISANTE à démontrer que toutes les mesures de prévention ont été prises.</w:t>
      </w:r>
    </w:p>
    <w:p>
      <w:pPr>
        <w:spacing w:before="240" w:after="80"/>
      </w:pPr>
      <w:r>
        <w:rPr>
          <w:b/>
          <w:i w:val="0"/>
          <w:color w:val="1F3B57"/>
          <w:sz w:val="25"/>
        </w:rPr>
        <w:t>Ce que cela change, concrètement</w:t>
      </w:r>
    </w:p>
    <w:p>
      <w:pPr>
        <w:spacing w:before="0" w:after="120"/>
      </w:pPr>
      <w:r>
        <w:rPr>
          <w:b w:val="0"/>
          <w:i w:val="0"/>
          <w:sz w:val="21"/>
        </w:rPr>
        <w:t>La question n’est plus « avez-vous réagi ? » mais « que pouvez-vous produire de ce que vous avez fait AVANT ? ». Un programme daté, une feuille d’émargement signée, un support remis, un questionnaire corrigé : ce sont ces pièces qui exonèrent. Une action menée sans trace équivaut, devant le juge, à une action non menée.</w:t>
      </w:r>
    </w:p>
    <w:p>
      <w:pPr>
        <w:spacing w:before="0" w:after="120"/>
      </w:pPr>
      <w:r>
        <w:rPr>
          <w:b w:val="0"/>
          <w:i w:val="0"/>
          <w:sz w:val="21"/>
        </w:rPr>
        <w:t>Enfin, la charge de la preuve est aménagée (article L.1154-1) : le salarié présente des éléments de fait laissant supposer un harcèlement, et il revient ensuite à l’employeur de prouver que ses décisions reposent sur des éléments objectifs étrangers à tout harcèlement. C’est pourquoi le module d’objectivation des décisions, dans l’action 7, n’est pas un supplément : c’est le cœur du dispositif.</w:t>
      </w:r>
    </w:p>
    <w:p>
      <w:r>
        <w:br w:type="page"/>
      </w:r>
    </w:p>
    <w:p>
      <w:pPr>
        <w:spacing w:before="0" w:after="80"/>
      </w:pPr>
      <w:r>
        <w:rPr>
          <w:b/>
          <w:i w:val="0"/>
          <w:color w:val="1F3B57"/>
          <w:sz w:val="32"/>
        </w:rPr>
        <w:t>Action 1 — Inscrire le risque au document unique</w:t>
      </w:r>
    </w:p>
    <w:p>
      <w:pPr>
        <w:spacing w:after="160"/>
        <w:pBdr>
          <w:bottom w:val="single" w:sz="8" w:color="C9A84C"/>
        </w:pBdr>
      </w:pPr>
    </w:p>
    <w:p>
      <w:pPr>
        <w:spacing w:before="0" w:after="160"/>
      </w:pPr>
      <w:r>
        <w:rPr>
          <w:b w:val="0"/>
          <w:i/>
          <w:color w:val="A0842E"/>
          <w:sz w:val="20"/>
        </w:rPr>
        <w:t>Articles L.4121-3, L.4121-3-1, R.4121-1, R.4121-2 et R.4121-4</w:t>
      </w:r>
    </w:p>
    <w:p>
      <w:pPr>
        <w:spacing w:before="0" w:after="100"/>
      </w:pPr>
      <w:r>
        <w:rPr>
          <w:b w:val="0"/>
          <w:i w:val="0"/>
          <w:sz w:val="21"/>
        </w:rPr>
        <w:t>Le harcèlement n’est pas un incident relationnel : c’est un risque professionnel, au même titre que le bruit ou la manutention. Il s’évalue unité de travail par unité de travail, et il s’écrit.</w:t>
      </w:r>
    </w:p>
    <w:p>
      <w:pPr>
        <w:spacing w:before="240" w:after="80"/>
      </w:pPr>
      <w:r>
        <w:rPr>
          <w:b/>
          <w:i w:val="0"/>
          <w:color w:val="1F3B57"/>
          <w:sz w:val="25"/>
        </w:rPr>
        <w:t>Ce que le code exige — et ce qu’il n’exige pas</w:t>
      </w:r>
    </w:p>
    <w:p>
      <w:pPr>
        <w:spacing w:before="0" w:after="100"/>
      </w:pPr>
      <w:r>
        <w:rPr>
          <w:b w:val="0"/>
          <w:i w:val="0"/>
          <w:sz w:val="21"/>
        </w:rPr>
        <w:t>L’article R.4121-1 impose de transcrire dans un document unique « les résultats de l’évaluation des risques pour la santé et la sécurité des travailleurs », évaluation qui comporte un inventaire des risques identifiés dans chaque unité de travail.</w:t>
      </w:r>
    </w:p>
    <w:p>
      <w:pPr>
        <w:spacing w:before="0" w:after="100"/>
      </w:pPr>
      <w:r>
        <w:rPr>
          <w:b w:val="0"/>
          <w:i w:val="0"/>
          <w:sz w:val="21"/>
        </w:rPr>
        <w:t>L’article L.4121-3-1 ajoute ce que les résultats doivent produire : dans les entreprises d’au moins cinquante salariés, un programme annuel de prévention des risques professionnels et d’amélioration des conditions de travail, qui fixe la liste détaillée des mesures à prendre dans l’année, et pour chacune ses conditions d’exécution, un indicateur de résultat et une estimation de son coût. Dans les entreprises de moins de cinquante salariés, une liste d’actions, intégrée au document unique lui-même. Le document et ses mises à jour se conservent quarante ans.</w:t>
      </w:r>
    </w:p>
    <w:p>
      <w:pPr>
        <w:spacing w:before="0" w:after="100"/>
      </w:pPr>
      <w:r>
        <w:rPr>
          <w:b/>
          <w:i w:val="0"/>
          <w:sz w:val="21"/>
        </w:rPr>
        <w:t>Ce que le code n’impose pas : aucune trame, aucune grille de cotation, aucun logiciel. La gravité sur quatre niveaux utilisée dans l’exemple ci-dessous est une convention répandue, pas une règle. Ce qui est exigé, c’est que le risque soit identifié par unité de travail et que des mesures en découlent.</w:t>
      </w:r>
    </w:p>
    <w:p>
      <w:pPr>
        <w:spacing w:before="280" w:after="80"/>
      </w:pPr>
      <w:r>
        <w:rPr>
          <w:b/>
          <w:i w:val="0"/>
          <w:color w:val="1F3B57"/>
          <w:sz w:val="25"/>
        </w:rPr>
        <w:t>1. Découper l’entreprise en unités de travail</w:t>
      </w:r>
    </w:p>
    <w:p>
      <w:pPr>
        <w:spacing w:before="0" w:after="100"/>
      </w:pPr>
      <w:r>
        <w:rPr>
          <w:b w:val="0"/>
          <w:i w:val="0"/>
          <w:sz w:val="21"/>
        </w:rPr>
        <w:t>Une unité de travail n’est pas forcément un service de l’organigramme : c’est un groupe de salariés exposés aux mêmes conditions. Un même intitulé de poste peut relever de deux unités différentes selon le site ou l’équipe.</w:t>
      </w:r>
    </w:p>
    <w:p>
      <w:pPr>
        <w:spacing w:before="0" w:after="80"/>
      </w:pPr>
      <w:r>
        <w:rPr>
          <w:b w:val="0"/>
          <w:i w:val="0"/>
          <w:sz w:val="21"/>
        </w:rPr>
        <w:t>Pour le risque de harcèlement, à examiner en priorité :</w:t>
      </w:r>
    </w:p>
    <w:p>
      <w:pPr>
        <w:pStyle w:val="ListBullet"/>
        <w:spacing w:after="40"/>
      </w:pPr>
      <w:r>
        <w:rPr>
          <w:sz w:val="20"/>
        </w:rPr>
        <w:t>Les équipes où le travail est isolé, ou en horaires décalés.</w:t>
      </w:r>
    </w:p>
    <w:p>
      <w:pPr>
        <w:pStyle w:val="ListBullet"/>
        <w:spacing w:after="40"/>
      </w:pPr>
      <w:r>
        <w:rPr>
          <w:sz w:val="20"/>
        </w:rPr>
        <w:t>Celles exposées à une forte pression sur les résultats, ou à des objectifs individuels affichés.</w:t>
      </w:r>
    </w:p>
    <w:p>
      <w:pPr>
        <w:pStyle w:val="ListBullet"/>
        <w:spacing w:after="40"/>
      </w:pPr>
      <w:r>
        <w:rPr>
          <w:sz w:val="20"/>
        </w:rPr>
        <w:t>Celles en réorganisation, en sous-effectif, ou dont l’encadrement vient d’être nommé.</w:t>
      </w:r>
    </w:p>
    <w:p>
      <w:pPr>
        <w:pStyle w:val="ListBullet"/>
        <w:spacing w:after="40"/>
      </w:pPr>
      <w:r>
        <w:rPr>
          <w:sz w:val="20"/>
        </w:rPr>
        <w:t>Celles où une plainte, un arrêt long, une inaptitude ou un départ conflictuel est déjà survenu.</w:t>
      </w:r>
    </w:p>
    <w:p>
      <w:pPr>
        <w:pStyle w:val="ListBullet"/>
        <w:spacing w:after="40"/>
      </w:pPr>
      <w:r>
        <w:rPr>
          <w:sz w:val="20"/>
        </w:rPr>
        <w:t>Celles dont le travail expose à des tiers : clients, patients, usagers, sous-traitants.</w:t>
      </w:r>
    </w:p>
    <w:p>
      <w:pPr>
        <w:spacing w:before="280" w:after="80"/>
      </w:pPr>
      <w:r>
        <w:rPr>
          <w:b/>
          <w:i w:val="0"/>
          <w:color w:val="1F3B57"/>
          <w:sz w:val="25"/>
        </w:rPr>
        <w:t>2. Nommer le risque, dans les mots du document unique</w:t>
      </w:r>
    </w:p>
    <w:p>
      <w:pPr>
        <w:spacing w:before="0" w:after="100"/>
      </w:pPr>
      <w:r>
        <w:rPr>
          <w:b w:val="0"/>
          <w:i w:val="0"/>
          <w:sz w:val="21"/>
        </w:rPr>
        <w:t>Écrire « ambiance tendue » ou « conflit interpersonnel » ne vaut rien : ce n’est pas un risque, c’est un commentaire. Le risque se nomme comme un danger, avec son effet possible.</w:t>
      </w:r>
    </w:p>
    <w:p>
      <w:pPr>
        <w:spacing w:before="0" w:after="100"/>
      </w:pPr>
      <w:r>
        <w:rPr>
          <w:b/>
          <w:i w:val="0"/>
          <w:sz w:val="21"/>
        </w:rPr>
        <w:t>Formulation à reprendre : « Risque d’atteinte à la santé mentale lié aux rapports sociaux de travail — harcèlement moral, harcèlement sexuel, agissements sexistes ». Ce libellé reprend le vocabulaire de l’article L.4121-2, 7°, qui vise expressément ces trois risques.</w:t>
      </w:r>
    </w:p>
    <w:p>
      <w:pPr>
        <w:spacing w:before="280" w:after="80"/>
      </w:pPr>
      <w:r>
        <w:rPr>
          <w:b/>
          <w:i w:val="0"/>
          <w:color w:val="1F3B57"/>
          <w:sz w:val="25"/>
        </w:rPr>
        <w:t>3. Ce qu’on écrit, ligne par ligne</w:t>
      </w:r>
    </w:p>
    <w:p>
      <w:pPr>
        <w:spacing w:before="0" w:after="100"/>
      </w:pPr>
      <w:r>
        <w:rPr>
          <w:b w:val="0"/>
          <w:i w:val="0"/>
          <w:sz w:val="21"/>
        </w:rPr>
        <w:t>Une ligne du document unique se remplit dans cet ordre. Aucune de ces rubriques n’est imposée par le code, mais l’absence de l’une d’elles est ce qu’un inspecteur, un expert ou un juge relève en premier.</w:t>
      </w:r>
    </w:p>
    <w:p>
      <w:pPr>
        <w:pStyle w:val="ListBullet"/>
        <w:spacing w:after="40"/>
      </w:pPr>
      <w:r>
        <w:rPr>
          <w:sz w:val="20"/>
        </w:rPr>
        <w:t>L’unité de travail, nommée, avec son effectif et son site.</w:t>
      </w:r>
    </w:p>
    <w:p>
      <w:pPr>
        <w:pStyle w:val="ListBullet"/>
        <w:spacing w:after="40"/>
      </w:pPr>
      <w:r>
        <w:rPr>
          <w:sz w:val="20"/>
        </w:rPr>
        <w:t>Le risque, dans les mots du 2 ci-dessus.</w:t>
      </w:r>
    </w:p>
    <w:p>
      <w:pPr>
        <w:pStyle w:val="ListBullet"/>
        <w:spacing w:after="40"/>
      </w:pPr>
      <w:r>
        <w:rPr>
          <w:sz w:val="20"/>
        </w:rPr>
        <w:t>La situation dangereuse : ce qui se passe réellement, décrit en faits observables. C’est la rubrique que tout le monde bâcle, et la seule qui prouve que l’évaluation a eu lieu.</w:t>
      </w:r>
    </w:p>
    <w:p>
      <w:pPr>
        <w:pStyle w:val="ListBullet"/>
        <w:spacing w:after="40"/>
      </w:pPr>
      <w:r>
        <w:rPr>
          <w:sz w:val="20"/>
        </w:rPr>
        <w:t>La population exposée : combien, et qui — y compris les contrats courts et les intérimaires.</w:t>
      </w:r>
    </w:p>
    <w:p>
      <w:pPr>
        <w:pStyle w:val="ListBullet"/>
        <w:spacing w:after="40"/>
      </w:pPr>
      <w:r>
        <w:rPr>
          <w:sz w:val="20"/>
        </w:rPr>
        <w:t>Les mesures déjà en place, avec leur date.</w:t>
      </w:r>
    </w:p>
    <w:p>
      <w:pPr>
        <w:pStyle w:val="ListBullet"/>
        <w:spacing w:after="40"/>
      </w:pPr>
      <w:r>
        <w:rPr>
          <w:sz w:val="20"/>
        </w:rPr>
        <w:t>La gravité et la fréquence, selon l’échelle que vous aurez retenue et écrite une fois pour toutes en tête de document.</w:t>
      </w:r>
    </w:p>
    <w:p>
      <w:pPr>
        <w:pStyle w:val="ListBullet"/>
        <w:spacing w:after="40"/>
      </w:pPr>
      <w:r>
        <w:rPr>
          <w:sz w:val="20"/>
        </w:rPr>
        <w:t>Le niveau de priorité qui en résulte.</w:t>
      </w:r>
    </w:p>
    <w:p>
      <w:pPr>
        <w:pStyle w:val="ListBullet"/>
        <w:spacing w:after="40"/>
      </w:pPr>
      <w:r>
        <w:rPr>
          <w:sz w:val="20"/>
        </w:rPr>
        <w:t>Les mesures décidées, un responsable nommé, une échéance datée.</w:t>
      </w:r>
    </w:p>
    <w:p>
      <w:pPr>
        <w:pStyle w:val="ListBullet"/>
        <w:spacing w:after="40"/>
      </w:pPr>
      <w:r>
        <w:rPr>
          <w:sz w:val="20"/>
        </w:rPr>
        <w:t>L’indicateur qui dira si la mesure a produit un effet, et le coût estimé (obligatoire à partir de cinquante salariés, article L.4121-3-1).</w:t>
      </w:r>
    </w:p>
    <w:p>
      <w:pPr>
        <w:spacing w:before="0" w:after="100"/>
      </w:pPr>
      <w:r>
        <w:rPr>
          <w:b/>
          <w:i w:val="0"/>
          <w:sz w:val="21"/>
        </w:rPr>
        <w:t>Une cotation sans mesure décidée ne sert à rien : elle établit que l’employeur connaissait le risque et n’a rien fait. C’est la seule manière de transformer le document unique en pièce à charge.</w:t>
      </w:r>
    </w:p>
    <w:p>
      <w:pPr>
        <w:spacing w:before="280" w:after="80"/>
      </w:pPr>
      <w:r>
        <w:rPr>
          <w:b/>
          <w:i w:val="0"/>
          <w:color w:val="1F3B57"/>
          <w:sz w:val="25"/>
        </w:rPr>
        <w:t>4. Exemple rempli — plateau de recouvrement, 18 salariés</w:t>
      </w:r>
    </w:p>
    <w:p>
      <w:pPr>
        <w:spacing w:before="0" w:after="120"/>
      </w:pPr>
      <w:r>
        <w:rPr>
          <w:b w:val="0"/>
          <w:i/>
          <w:color w:val="B23B3B"/>
          <w:sz w:val="19"/>
        </w:rPr>
        <w:t>Exemple pédagogique. L’entreprise, les faits et les chiffres sont fictifs. Il montre le niveau de précision attendu : il ne se recopie pas. Un document unique recopié d’un modèle est un document unique non fait.</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Unité de travail</w:t>
            </w:r>
          </w:p>
        </w:tc>
        <w:tc>
          <w:tcPr>
            <w:tcW w:type="dxa" w:w="4873"/>
          </w:tcPr>
          <w:p>
            <w:r>
              <w:rPr>
                <w:b w:val="0"/>
                <w:sz w:val="18"/>
              </w:rPr>
              <w:t>Plateau « recouvrement amiable » — site de Lyon — 18 salariés : 14 chargés de recouvrement (dont 6 en CDD), 3 superviseurs, 1 responsable de plateau.</w:t>
            </w:r>
          </w:p>
        </w:tc>
      </w:tr>
      <w:tr>
        <w:tc>
          <w:tcPr>
            <w:tcW w:type="dxa" w:w="4873"/>
          </w:tcPr>
          <w:p>
            <w:r>
              <w:rPr>
                <w:b/>
                <w:sz w:val="18"/>
              </w:rPr>
              <w:t>Risque identifié</w:t>
            </w:r>
          </w:p>
        </w:tc>
        <w:tc>
          <w:tcPr>
            <w:tcW w:type="dxa" w:w="4873"/>
          </w:tcPr>
          <w:p>
            <w:r>
              <w:rPr>
                <w:b w:val="0"/>
                <w:sz w:val="18"/>
              </w:rPr>
              <w:t>Risque d’atteinte à la santé mentale lié aux rapports sociaux de travail — harcèlement moral (L.4121-2, 7°).</w:t>
            </w:r>
          </w:p>
        </w:tc>
      </w:tr>
      <w:tr>
        <w:tc>
          <w:tcPr>
            <w:tcW w:type="dxa" w:w="4873"/>
          </w:tcPr>
          <w:p>
            <w:r>
              <w:rPr>
                <w:b/>
                <w:sz w:val="18"/>
              </w:rPr>
              <w:t>Situation dangereuse</w:t>
              <w:br/>
            </w:r>
            <w:r>
              <w:rPr>
                <w:b/>
                <w:sz w:val="18"/>
              </w:rPr>
              <w:t>(faits observables)</w:t>
            </w:r>
          </w:p>
        </w:tc>
        <w:tc>
          <w:tcPr>
            <w:tcW w:type="dxa" w:w="4873"/>
          </w:tcPr>
          <w:p>
            <w:r>
              <w:rPr>
                <w:b w:val="0"/>
                <w:sz w:val="18"/>
              </w:rPr>
              <w:t>Affichage nominatif quotidien du classement des chargés de recouvrement sur l’écran commun du plateau. Entretiens de recadrage tenus en espace ouvert, à portée de voix de l’équipe. Objectifs individuels relevés trois fois en six mois sans révision de l’effectif. Deux départs non remplacés depuis mars. Encadrement du plateau nommé en janvier, sans formation.</w:t>
            </w:r>
          </w:p>
        </w:tc>
      </w:tr>
      <w:tr>
        <w:tc>
          <w:tcPr>
            <w:tcW w:type="dxa" w:w="4873"/>
          </w:tcPr>
          <w:p>
            <w:r>
              <w:rPr>
                <w:b/>
                <w:sz w:val="18"/>
              </w:rPr>
              <w:t>Population exposée</w:t>
            </w:r>
          </w:p>
        </w:tc>
        <w:tc>
          <w:tcPr>
            <w:tcW w:type="dxa" w:w="4873"/>
          </w:tcPr>
          <w:p>
            <w:r>
              <w:rPr>
                <w:b w:val="0"/>
                <w:sz w:val="18"/>
              </w:rPr>
              <w:t>14 chargés de recouvrement, dont 6 en CDD et 2 intérimaires. Les 3 superviseurs sont exposés à double titre : comme cibles et comme auteurs possibles.</w:t>
            </w:r>
          </w:p>
        </w:tc>
      </w:tr>
      <w:tr>
        <w:tc>
          <w:tcPr>
            <w:tcW w:type="dxa" w:w="4873"/>
          </w:tcPr>
          <w:p>
            <w:r>
              <w:rPr>
                <w:b/>
                <w:sz w:val="18"/>
              </w:rPr>
              <w:t>Mesures déjà en place</w:t>
            </w:r>
          </w:p>
        </w:tc>
        <w:tc>
          <w:tcPr>
            <w:tcW w:type="dxa" w:w="4873"/>
          </w:tcPr>
          <w:p>
            <w:r>
              <w:rPr>
                <w:b w:val="0"/>
                <w:sz w:val="18"/>
              </w:rPr>
              <w:t>Affichage L.1152-4 à jour (photographié le 14 mai). Référent du comité désigné (PV du 12 février). Procédure de signalement diffusée le 3 mars, accusé de lecture pour 16 salariés sur 18.</w:t>
            </w:r>
          </w:p>
        </w:tc>
      </w:tr>
      <w:tr>
        <w:tc>
          <w:tcPr>
            <w:tcW w:type="dxa" w:w="4873"/>
          </w:tcPr>
          <w:p>
            <w:r>
              <w:rPr>
                <w:b/>
                <w:sz w:val="18"/>
              </w:rPr>
              <w:t>Gravité</w:t>
            </w:r>
          </w:p>
        </w:tc>
        <w:tc>
          <w:tcPr>
            <w:tcW w:type="dxa" w:w="4873"/>
          </w:tcPr>
          <w:p>
            <w:r>
              <w:rPr>
                <w:b w:val="0"/>
                <w:sz w:val="18"/>
              </w:rPr>
              <w:t>3 sur 4 — atteinte possible à la santé mentale, arrêt de travail envisageable.</w:t>
            </w:r>
          </w:p>
        </w:tc>
      </w:tr>
      <w:tr>
        <w:tc>
          <w:tcPr>
            <w:tcW w:type="dxa" w:w="4873"/>
          </w:tcPr>
          <w:p>
            <w:r>
              <w:rPr>
                <w:b/>
                <w:sz w:val="18"/>
              </w:rPr>
              <w:t>Fréquence d’exposition</w:t>
            </w:r>
          </w:p>
        </w:tc>
        <w:tc>
          <w:tcPr>
            <w:tcW w:type="dxa" w:w="4873"/>
          </w:tcPr>
          <w:p>
            <w:r>
              <w:rPr>
                <w:b w:val="0"/>
                <w:sz w:val="18"/>
              </w:rPr>
              <w:t>4 sur 4 — quotidienne.</w:t>
            </w:r>
          </w:p>
        </w:tc>
      </w:tr>
      <w:tr>
        <w:tc>
          <w:tcPr>
            <w:tcW w:type="dxa" w:w="4873"/>
          </w:tcPr>
          <w:p>
            <w:r>
              <w:rPr>
                <w:b/>
                <w:sz w:val="18"/>
              </w:rPr>
              <w:t>Priorité</w:t>
            </w:r>
          </w:p>
        </w:tc>
        <w:tc>
          <w:tcPr>
            <w:tcW w:type="dxa" w:w="4873"/>
          </w:tcPr>
          <w:p>
            <w:r>
              <w:rPr>
                <w:b w:val="0"/>
                <w:sz w:val="18"/>
              </w:rPr>
              <w:t>P1 — à traiter dans les trois mois.</w:t>
            </w:r>
          </w:p>
        </w:tc>
      </w:tr>
      <w:tr>
        <w:tc>
          <w:tcPr>
            <w:tcW w:type="dxa" w:w="4873"/>
          </w:tcPr>
          <w:p>
            <w:r>
              <w:rPr>
                <w:b/>
                <w:sz w:val="18"/>
              </w:rPr>
              <w:t>Mesures décidées</w:t>
            </w:r>
          </w:p>
        </w:tc>
        <w:tc>
          <w:tcPr>
            <w:tcW w:type="dxa" w:w="4873"/>
          </w:tcPr>
          <w:p>
            <w:r>
              <w:rPr>
                <w:b w:val="0"/>
                <w:sz w:val="18"/>
              </w:rPr>
              <w:t>1. Suppression de l’affichage nominatif des classements, remplacé par un indicateur collectif hebdomadaire.</w:t>
              <w:br/>
            </w:r>
            <w:r>
              <w:rPr>
                <w:b w:val="0"/>
                <w:sz w:val="18"/>
              </w:rPr>
              <w:t>2. Entretiens individuels tenus en salle fermée, sans exception.</w:t>
              <w:br/>
            </w:r>
            <w:r>
              <w:rPr>
                <w:b w:val="0"/>
                <w:sz w:val="18"/>
              </w:rPr>
              <w:t>3. Formation des 4 encadrants du plateau (action 7 du présent dossier).</w:t>
              <w:br/>
            </w:r>
            <w:r>
              <w:rPr>
                <w:b w:val="0"/>
                <w:sz w:val="18"/>
              </w:rPr>
              <w:t>4. Retour à l’effectif cible : 2 recrutements ouverts.</w:t>
              <w:br/>
            </w:r>
            <w:r>
              <w:rPr>
                <w:b w:val="0"/>
                <w:sz w:val="18"/>
              </w:rPr>
              <w:t>5. Point mensuel du responsable de site sur la charge et les objectifs, tracé par écrit.</w:t>
            </w:r>
          </w:p>
        </w:tc>
      </w:tr>
      <w:tr>
        <w:tc>
          <w:tcPr>
            <w:tcW w:type="dxa" w:w="4873"/>
          </w:tcPr>
          <w:p>
            <w:r>
              <w:rPr>
                <w:b/>
                <w:sz w:val="18"/>
              </w:rPr>
              <w:t>Responsable</w:t>
            </w:r>
          </w:p>
        </w:tc>
        <w:tc>
          <w:tcPr>
            <w:tcW w:type="dxa" w:w="4873"/>
          </w:tcPr>
          <w:p>
            <w:r>
              <w:rPr>
                <w:b w:val="0"/>
                <w:sz w:val="18"/>
              </w:rPr>
              <w:t>Directeur du site de Lyon, nommément désigné.</w:t>
            </w:r>
          </w:p>
        </w:tc>
      </w:tr>
      <w:tr>
        <w:tc>
          <w:tcPr>
            <w:tcW w:type="dxa" w:w="4873"/>
          </w:tcPr>
          <w:p>
            <w:r>
              <w:rPr>
                <w:b/>
                <w:sz w:val="18"/>
              </w:rPr>
              <w:t>Échéance</w:t>
            </w:r>
          </w:p>
        </w:tc>
        <w:tc>
          <w:tcPr>
            <w:tcW w:type="dxa" w:w="4873"/>
          </w:tcPr>
          <w:p>
            <w:r>
              <w:rPr>
                <w:b w:val="0"/>
                <w:sz w:val="18"/>
              </w:rPr>
              <w:t>30 septembre — revue le 31 décembre.</w:t>
            </w:r>
          </w:p>
        </w:tc>
      </w:tr>
      <w:tr>
        <w:tc>
          <w:tcPr>
            <w:tcW w:type="dxa" w:w="4873"/>
          </w:tcPr>
          <w:p>
            <w:r>
              <w:rPr>
                <w:b/>
                <w:sz w:val="18"/>
              </w:rPr>
              <w:t>Indicateur de résultat</w:t>
            </w:r>
          </w:p>
        </w:tc>
        <w:tc>
          <w:tcPr>
            <w:tcW w:type="dxa" w:w="4873"/>
          </w:tcPr>
          <w:p>
            <w:r>
              <w:rPr>
                <w:b w:val="0"/>
                <w:sz w:val="18"/>
              </w:rPr>
              <w:t>Nombre de signalements reçus sur le plateau. Taux d’absentéisme de l’unité. Réponse à l’item « je peux dire quand quelque chose ne va pas » du questionnaire annuel.</w:t>
            </w:r>
          </w:p>
        </w:tc>
      </w:tr>
      <w:tr>
        <w:tc>
          <w:tcPr>
            <w:tcW w:type="dxa" w:w="4873"/>
          </w:tcPr>
          <w:p>
            <w:r>
              <w:rPr>
                <w:b/>
                <w:sz w:val="18"/>
              </w:rPr>
              <w:t>Coût estimé</w:t>
            </w:r>
          </w:p>
        </w:tc>
        <w:tc>
          <w:tcPr>
            <w:tcW w:type="dxa" w:w="4873"/>
          </w:tcPr>
          <w:p>
            <w:r>
              <w:rPr>
                <w:b w:val="0"/>
                <w:sz w:val="18"/>
              </w:rPr>
              <w:t>4 encadrants × 1 journée de formation. Réaménagement de deux bureaux. 2 recrutements.</w:t>
            </w:r>
          </w:p>
        </w:tc>
      </w:tr>
    </w:tbl>
    <w:p>
      <w:pPr>
        <w:spacing w:before="280" w:after="80"/>
      </w:pPr>
      <w:r>
        <w:rPr>
          <w:b/>
          <w:i w:val="0"/>
          <w:color w:val="1F3B57"/>
          <w:sz w:val="25"/>
        </w:rPr>
        <w:t>5. Ce qui ne doit PAS y figurer</w:t>
      </w:r>
    </w:p>
    <w:p>
      <w:pPr>
        <w:spacing w:before="0" w:after="100"/>
      </w:pPr>
      <w:r>
        <w:rPr>
          <w:b w:val="0"/>
          <w:i w:val="0"/>
          <w:sz w:val="21"/>
        </w:rPr>
        <w:t>Le document unique est mis à la disposition des travailleurs, du comité, du médecin du travail et de l’inspection du travail (article R.4121-4). Il n’est donc jamais nominatif.</w:t>
      </w:r>
    </w:p>
    <w:p>
      <w:pPr>
        <w:pStyle w:val="ListBullet"/>
        <w:spacing w:after="40"/>
      </w:pPr>
      <w:r>
        <w:rPr>
          <w:sz w:val="20"/>
        </w:rPr>
        <w:t>Aucun nom de salarié, ni comme victime supposée, ni comme auteur supposé.</w:t>
      </w:r>
    </w:p>
    <w:p>
      <w:pPr>
        <w:pStyle w:val="ListBullet"/>
        <w:spacing w:after="40"/>
      </w:pPr>
      <w:r>
        <w:rPr>
          <w:sz w:val="20"/>
        </w:rPr>
        <w:t>Aucune donnée de santé : pas d’arrêt de travail nommé, pas de diagnostic, pas d’inaptitude rattachée à une personne.</w:t>
      </w:r>
    </w:p>
    <w:p>
      <w:pPr>
        <w:pStyle w:val="ListBullet"/>
        <w:spacing w:after="40"/>
      </w:pPr>
      <w:r>
        <w:rPr>
          <w:sz w:val="20"/>
        </w:rPr>
        <w:t>Aucun renvoi à un dossier en cours (« affaire du plateau, Mme …»). Le signalement se suit au registre, action 11.</w:t>
      </w:r>
    </w:p>
    <w:p>
      <w:pPr>
        <w:pStyle w:val="ListBullet"/>
        <w:spacing w:after="40"/>
      </w:pPr>
      <w:r>
        <w:rPr>
          <w:sz w:val="20"/>
        </w:rPr>
        <w:t>Aucune appréciation sur une personne. On décrit une organisation, pas des caractères.</w:t>
      </w:r>
    </w:p>
    <w:p>
      <w:pPr>
        <w:spacing w:before="0" w:after="100"/>
      </w:pPr>
      <w:r>
        <w:rPr>
          <w:b/>
          <w:i w:val="0"/>
          <w:sz w:val="21"/>
        </w:rPr>
        <w:t>La règle pratique : ce qui identifie quelqu’un va au registre des signalements, à accès restreint. Ce qui décrit une organisation va au document unique, qui est consultable.</w:t>
      </w:r>
    </w:p>
    <w:p>
      <w:pPr>
        <w:spacing w:before="280" w:after="80"/>
      </w:pPr>
      <w:r>
        <w:rPr>
          <w:b/>
          <w:i w:val="0"/>
          <w:color w:val="1F3B57"/>
          <w:sz w:val="25"/>
        </w:rPr>
        <w:t>6. Quand le mettre à jour</w:t>
      </w:r>
    </w:p>
    <w:p>
      <w:pPr>
        <w:spacing w:before="0" w:after="100"/>
      </w:pPr>
      <w:r>
        <w:rPr>
          <w:b w:val="0"/>
          <w:i w:val="0"/>
          <w:sz w:val="21"/>
        </w:rPr>
        <w:t>L’article R.4121-2 fixe trois déclencheurs : au moins chaque année dans les entreprises d’au moins onze salariés ; lors de toute décision d’aménagement important modifiant les conditions de santé, de sécurité ou les conditions de travail ; et lorsqu’une information supplémentaire intéressant l’évaluation d’un risque dans une unité de travail est portée à la connaissance de l’employeur.</w:t>
      </w:r>
    </w:p>
    <w:p>
      <w:pPr>
        <w:spacing w:before="0" w:after="100"/>
      </w:pPr>
      <w:r>
        <w:rPr>
          <w:b/>
          <w:i w:val="0"/>
          <w:sz w:val="21"/>
        </w:rPr>
        <w:t>Le troisième cas est celui qu’on oublie, et c’est le plus dangereux : un signalement EST une information supplémentaire. Un signalement reçu et un document unique inchangé, c’est l’aveu écrit qu’on savait et qu’on n’a rien tiré de ce qu’on savait.</w:t>
      </w:r>
    </w:p>
    <w:p>
      <w:pPr>
        <w:spacing w:before="0" w:after="100"/>
      </w:pPr>
      <w:r>
        <w:rPr>
          <w:b w:val="0"/>
          <w:i w:val="0"/>
          <w:sz w:val="21"/>
        </w:rPr>
        <w:t>Sont également des informations supplémentaires : un arrêt de travail long dans une même équipe, une alerte du médecin du travail, un droit d’alerte d’un élu, une inaptitude, une démission motivée par écrit, un compte rendu d’enquête. Chacune se date et se trace.</w:t>
      </w:r>
    </w:p>
    <w:p>
      <w:pPr>
        <w:spacing w:before="0" w:after="100"/>
      </w:pPr>
      <w:r>
        <w:rPr>
          <w:b w:val="0"/>
          <w:i/>
          <w:color w:val="555555"/>
          <w:sz w:val="19"/>
        </w:rPr>
        <w:t>À vérifier à la date de remise : les modalités de dépôt dématérialisé du document unique sur un portail numérique, dont le calendrier d’entrée en vigueur a été échelonné selon l’effectif.</w:t>
      </w:r>
    </w:p>
    <w:p>
      <w:pPr>
        <w:spacing w:before="240" w:after="80"/>
      </w:pPr>
      <w:r>
        <w:rPr>
          <w:b/>
          <w:i w:val="0"/>
          <w:color w:val="1F3B57"/>
          <w:sz w:val="25"/>
        </w:rPr>
        <w:t>Ce que l’action produit — les pièces à conserver</w:t>
      </w:r>
    </w:p>
    <w:p>
      <w:pPr>
        <w:pStyle w:val="ListBullet"/>
        <w:spacing w:after="40"/>
      </w:pPr>
      <w:r>
        <w:rPr>
          <w:sz w:val="20"/>
        </w:rPr>
        <w:t>Document unique daté, volet risques psychosociaux, avec la ligne « harcèlement » remplie pour chaque unité de travail concernée</w:t>
      </w:r>
    </w:p>
    <w:p>
      <w:pPr>
        <w:pStyle w:val="ListBullet"/>
        <w:spacing w:after="40"/>
      </w:pPr>
      <w:r>
        <w:rPr>
          <w:sz w:val="20"/>
        </w:rPr>
        <w:t>Programme annuel de prévention (au moins 50 salariés) ou liste d’actions intégrée (moins de 50 salariés)</w:t>
      </w:r>
    </w:p>
    <w:p>
      <w:pPr>
        <w:pStyle w:val="ListBullet"/>
        <w:spacing w:after="40"/>
      </w:pPr>
      <w:r>
        <w:rPr>
          <w:sz w:val="20"/>
        </w:rPr>
        <w:t>Procès-verbal de consultation du comité sur le document unique et sur le programme</w:t>
      </w:r>
    </w:p>
    <w:p>
      <w:pPr>
        <w:pStyle w:val="ListBullet"/>
        <w:spacing w:after="40"/>
      </w:pPr>
      <w:r>
        <w:rPr>
          <w:sz w:val="20"/>
        </w:rPr>
        <w:t>Historique des versions conservé — l’obligation de conservation est de quarante ans</w:t>
      </w:r>
    </w:p>
    <w:p>
      <w:pPr>
        <w:pStyle w:val="ListBullet"/>
        <w:spacing w:after="40"/>
      </w:pPr>
      <w:r>
        <w:rPr>
          <w:sz w:val="20"/>
        </w:rPr>
        <w:t>Preuve de mise à disposition : note de diffusion, avis d’accès, registre de consultation</w:t>
      </w:r>
    </w:p>
    <w:p>
      <w:pPr>
        <w:pStyle w:val="ListBullet"/>
        <w:spacing w:after="40"/>
      </w:pPr>
      <w:r>
        <w:rPr>
          <w:sz w:val="20"/>
        </w:rPr>
        <w:t>Pour chaque mise à jour, la pièce qui l’a déclenchée : signalement, alerte du médecin du travail, décision de réorganisation</w:t>
      </w:r>
    </w:p>
    <w:p>
      <w:r>
        <w:br w:type="page"/>
      </w:r>
    </w:p>
    <w:p>
      <w:pPr>
        <w:spacing w:before="0" w:after="80"/>
      </w:pPr>
      <w:r>
        <w:rPr>
          <w:b/>
          <w:i w:val="0"/>
          <w:color w:val="1F3B57"/>
          <w:sz w:val="32"/>
        </w:rPr>
        <w:t>Action 2 — Afficher les textes et les voies de recours</w:t>
      </w:r>
    </w:p>
    <w:p>
      <w:pPr>
        <w:spacing w:after="160"/>
        <w:pBdr>
          <w:bottom w:val="single" w:sz="8" w:color="C9A84C"/>
        </w:pBdr>
      </w:pPr>
    </w:p>
    <w:p>
      <w:pPr>
        <w:spacing w:before="0" w:after="160"/>
      </w:pPr>
      <w:r>
        <w:rPr>
          <w:b w:val="0"/>
          <w:i/>
          <w:color w:val="A0842E"/>
          <w:sz w:val="20"/>
        </w:rPr>
        <w:t>Articles L.1152-4 et L.1153-5</w:t>
      </w:r>
    </w:p>
    <w:p>
      <w:pPr>
        <w:spacing w:before="0" w:after="100"/>
      </w:pPr>
      <w:r>
        <w:rPr>
          <w:b w:val="0"/>
          <w:i w:val="0"/>
          <w:sz w:val="21"/>
        </w:rPr>
        <w:t>Le texte de l’article 222-33-2 du code pénal pour le harcèlement moral, celui de l’article 222-33 pour le harcèlement sexuel, les actions contentieuses ouvertes, et les coordonnées des autorités et services compétents.</w:t>
      </w:r>
    </w:p>
    <w:p>
      <w:pPr>
        <w:spacing w:before="0" w:after="100"/>
      </w:pPr>
      <w:r>
        <w:rPr>
          <w:b w:val="0"/>
          <w:i w:val="0"/>
          <w:sz w:val="21"/>
        </w:rPr>
        <w:t>Doivent y figurer nommément : le médecin du travail ou le service de prévention et de santé au travail, l’inspection du travail compétente avec le nom de l’agent, le Défenseur des droits, le référent de l’entreprise, le référent du comité. Un affichage qui ne nomme personne n’oriente personne.</w:t>
      </w:r>
    </w:p>
    <w:p>
      <w:pPr>
        <w:spacing w:before="0" w:after="100"/>
      </w:pPr>
      <w:r>
        <w:rPr>
          <w:b w:val="0"/>
          <w:i w:val="0"/>
          <w:sz w:val="21"/>
        </w:rPr>
        <w:t>Où : dans les lieux de travail et dans les locaux ou à la porte des locaux où se fait l’embauche. Sur chaque site. Pour les télétravailleurs et les itinérants, un relais numérique équivalent.</w:t>
      </w:r>
    </w:p>
    <w:p>
      <w:pPr>
        <w:spacing w:before="240" w:after="80"/>
      </w:pPr>
      <w:r>
        <w:rPr>
          <w:b/>
          <w:i w:val="0"/>
          <w:color w:val="1F3B57"/>
          <w:sz w:val="25"/>
        </w:rPr>
        <w:t>Ce que l’action produit — les pièces à conserver</w:t>
      </w:r>
    </w:p>
    <w:p>
      <w:pPr>
        <w:pStyle w:val="ListBullet"/>
        <w:spacing w:after="40"/>
      </w:pPr>
      <w:r>
        <w:rPr>
          <w:sz w:val="20"/>
        </w:rPr>
        <w:t>Affiche à jour, par site</w:t>
      </w:r>
    </w:p>
    <w:p>
      <w:pPr>
        <w:pStyle w:val="ListBullet"/>
        <w:spacing w:after="40"/>
      </w:pPr>
      <w:r>
        <w:rPr>
          <w:sz w:val="20"/>
        </w:rPr>
        <w:t>Photographies datées</w:t>
      </w:r>
    </w:p>
    <w:p>
      <w:pPr>
        <w:pStyle w:val="ListBullet"/>
        <w:spacing w:after="40"/>
      </w:pPr>
      <w:r>
        <w:rPr>
          <w:sz w:val="20"/>
        </w:rPr>
        <w:t>Fiche de contrôle semestriel</w:t>
      </w:r>
    </w:p>
    <w:p>
      <w:r>
        <w:br w:type="page"/>
      </w:r>
    </w:p>
    <w:p>
      <w:pPr>
        <w:spacing w:before="0" w:after="80"/>
      </w:pPr>
      <w:r>
        <w:rPr>
          <w:b/>
          <w:i w:val="0"/>
          <w:color w:val="1F3B57"/>
          <w:sz w:val="32"/>
        </w:rPr>
        <w:t>Action 3 — Compléter le règlement intérieur</w:t>
      </w:r>
    </w:p>
    <w:p>
      <w:pPr>
        <w:spacing w:after="160"/>
        <w:pBdr>
          <w:bottom w:val="single" w:sz="8" w:color="C9A84C"/>
        </w:pBdr>
      </w:pPr>
    </w:p>
    <w:p>
      <w:pPr>
        <w:spacing w:before="0" w:after="160"/>
      </w:pPr>
      <w:r>
        <w:rPr>
          <w:b w:val="0"/>
          <w:i/>
          <w:color w:val="A0842E"/>
          <w:sz w:val="20"/>
        </w:rPr>
        <w:t>Article L.1321-2</w:t>
      </w:r>
    </w:p>
    <w:p>
      <w:pPr>
        <w:spacing w:before="0" w:after="100"/>
      </w:pPr>
      <w:r>
        <w:rPr>
          <w:b w:val="0"/>
          <w:i w:val="0"/>
          <w:sz w:val="21"/>
        </w:rPr>
        <w:t>Rappel des dispositions relatives à l’interdiction du harcèlement moral, du harcèlement sexuel et des agissements sexistes. Échelle des sanctions — sans elle, une sanction est inopposable. Procédure disciplinaire.</w:t>
      </w:r>
    </w:p>
    <w:p>
      <w:pPr>
        <w:spacing w:before="0" w:after="100"/>
      </w:pPr>
      <w:r>
        <w:rPr>
          <w:b w:val="0"/>
          <w:i w:val="0"/>
          <w:sz w:val="21"/>
        </w:rPr>
        <w:t>Ce qu’il ne doit pas contenir : une clause restreignant le droit de dénoncer, imposant un passage obligé par la hiérarchie directe — souvent l’auteur présumé — ou menaçant de sanction le salarié dont la dénonciation ne serait pas confirmée.</w:t>
      </w:r>
    </w:p>
    <w:p>
      <w:pPr>
        <w:spacing w:before="0" w:after="100"/>
      </w:pPr>
      <w:r>
        <w:rPr>
          <w:b w:val="0"/>
          <w:i w:val="0"/>
          <w:sz w:val="21"/>
        </w:rPr>
        <w:t>Procédure : consultation du comité, transmission à l’inspection du travail, dépôt au greffe du conseil de prud’hommes, affichage, entrée en vigueur un mois après.</w:t>
      </w:r>
    </w:p>
    <w:p>
      <w:pPr>
        <w:spacing w:before="0" w:after="100"/>
      </w:pPr>
      <w:r>
        <w:rPr>
          <w:b w:val="0"/>
          <w:i w:val="0"/>
          <w:sz w:val="21"/>
        </w:rPr>
        <w:t>À retenir : une procédure d’alerte inscrite au règlement intérieur, même utilisée par la victime, NE SUFFIT PAS à démontrer que toutes les mesures de prévention ont été prises (Cass. soc., 1er juin 2016, n° 14-19.702). C’est la raison d’être des onze autres actions.</w:t>
      </w:r>
    </w:p>
    <w:p>
      <w:pPr>
        <w:spacing w:before="240" w:after="80"/>
      </w:pPr>
      <w:r>
        <w:rPr>
          <w:b/>
          <w:i w:val="0"/>
          <w:color w:val="1F3B57"/>
          <w:sz w:val="25"/>
        </w:rPr>
        <w:t>Ce que l’action produit — les pièces à conserver</w:t>
      </w:r>
    </w:p>
    <w:p>
      <w:pPr>
        <w:pStyle w:val="ListBullet"/>
        <w:spacing w:after="40"/>
      </w:pPr>
      <w:r>
        <w:rPr>
          <w:sz w:val="20"/>
        </w:rPr>
        <w:t>Règlement intérieur à jour</w:t>
      </w:r>
    </w:p>
    <w:p>
      <w:pPr>
        <w:pStyle w:val="ListBullet"/>
        <w:spacing w:after="40"/>
      </w:pPr>
      <w:r>
        <w:rPr>
          <w:sz w:val="20"/>
        </w:rPr>
        <w:t>Avis du comité</w:t>
      </w:r>
    </w:p>
    <w:p>
      <w:pPr>
        <w:pStyle w:val="ListBullet"/>
        <w:spacing w:after="40"/>
      </w:pPr>
      <w:r>
        <w:rPr>
          <w:sz w:val="20"/>
        </w:rPr>
        <w:t>Récépissé de dépôt au greffe</w:t>
      </w:r>
    </w:p>
    <w:p>
      <w:pPr>
        <w:pStyle w:val="ListBullet"/>
        <w:spacing w:after="40"/>
      </w:pPr>
      <w:r>
        <w:rPr>
          <w:sz w:val="20"/>
        </w:rPr>
        <w:t>Preuve de transmission à l’inspection du travail</w:t>
      </w:r>
    </w:p>
    <w:p>
      <w:r>
        <w:br w:type="page"/>
      </w:r>
    </w:p>
    <w:p>
      <w:pPr>
        <w:spacing w:before="0" w:after="80"/>
      </w:pPr>
      <w:r>
        <w:rPr>
          <w:b/>
          <w:i w:val="0"/>
          <w:color w:val="1F3B57"/>
          <w:sz w:val="32"/>
        </w:rPr>
        <w:t>Action 4 — Faire désigner le référent du comité</w:t>
      </w:r>
    </w:p>
    <w:p>
      <w:pPr>
        <w:spacing w:after="160"/>
        <w:pBdr>
          <w:bottom w:val="single" w:sz="8" w:color="C9A84C"/>
        </w:pBdr>
      </w:pPr>
    </w:p>
    <w:p>
      <w:pPr>
        <w:spacing w:before="0" w:after="160"/>
      </w:pPr>
      <w:r>
        <w:rPr>
          <w:b w:val="0"/>
          <w:i/>
          <w:color w:val="A0842E"/>
          <w:sz w:val="20"/>
        </w:rPr>
        <w:t>Article L.2314-1, dernier alinéa</w:t>
      </w:r>
    </w:p>
    <w:p>
      <w:pPr>
        <w:spacing w:before="0" w:after="100"/>
      </w:pPr>
      <w:r>
        <w:rPr>
          <w:b w:val="0"/>
          <w:i w:val="0"/>
          <w:sz w:val="21"/>
        </w:rPr>
        <w:t>Le comité désigne parmi ses membres — titulaires ou suppléants — un référent en matière de lutte contre le harcèlement sexuel et les agissements sexistes. Obligatoire dans toute entreprise dotée d’un comité, quelle que soit sa taille.</w:t>
      </w:r>
    </w:p>
    <w:p>
      <w:pPr>
        <w:spacing w:before="0" w:after="100"/>
      </w:pPr>
      <w:r>
        <w:rPr>
          <w:b w:val="0"/>
          <w:i w:val="0"/>
          <w:sz w:val="21"/>
        </w:rPr>
        <w:t>La désignation prend la forme d’une résolution adoptée à la majorité des membres présents, pour la durée du mandat.</w:t>
      </w:r>
    </w:p>
    <w:p>
      <w:pPr>
        <w:spacing w:before="0" w:after="100"/>
      </w:pPr>
      <w:r>
        <w:rPr>
          <w:b w:val="0"/>
          <w:i w:val="0"/>
          <w:sz w:val="21"/>
        </w:rPr>
        <w:t>Ses moyens : le temps nécessaire sur le crédit d’heures, une formation, la possibilité d’être reçu par la direction. Un référent désigné sans moyens est une désignation de façade.</w:t>
      </w:r>
    </w:p>
    <w:p>
      <w:pPr>
        <w:spacing w:before="0" w:after="100"/>
      </w:pPr>
      <w:r>
        <w:rPr>
          <w:b w:val="0"/>
          <w:i w:val="0"/>
          <w:sz w:val="21"/>
        </w:rPr>
        <w:t>Son nom et son contact figurent sur l’affichage et dans le livret d’accueil.</w:t>
      </w:r>
    </w:p>
    <w:p>
      <w:pPr>
        <w:spacing w:before="240" w:after="80"/>
      </w:pPr>
      <w:r>
        <w:rPr>
          <w:b/>
          <w:i w:val="0"/>
          <w:color w:val="1F3B57"/>
          <w:sz w:val="25"/>
        </w:rPr>
        <w:t>Ce que l’action produit — les pièces à conserver</w:t>
      </w:r>
    </w:p>
    <w:p>
      <w:pPr>
        <w:pStyle w:val="ListBullet"/>
        <w:spacing w:after="40"/>
      </w:pPr>
      <w:r>
        <w:rPr>
          <w:sz w:val="20"/>
        </w:rPr>
        <w:t>Extrait du procès-verbal de désignation</w:t>
      </w:r>
    </w:p>
    <w:p>
      <w:pPr>
        <w:pStyle w:val="ListBullet"/>
        <w:spacing w:after="40"/>
      </w:pPr>
      <w:r>
        <w:rPr>
          <w:sz w:val="20"/>
        </w:rPr>
        <w:t>Note diffusée avec le nom et le contact</w:t>
      </w:r>
    </w:p>
    <w:p>
      <w:pPr>
        <w:pStyle w:val="ListBullet"/>
        <w:spacing w:after="40"/>
      </w:pPr>
      <w:r>
        <w:rPr>
          <w:sz w:val="20"/>
        </w:rPr>
        <w:t>Attestation de formation</w:t>
      </w:r>
    </w:p>
    <w:p>
      <w:r>
        <w:br w:type="page"/>
      </w:r>
    </w:p>
    <w:p>
      <w:pPr>
        <w:spacing w:before="0" w:after="80"/>
      </w:pPr>
      <w:r>
        <w:rPr>
          <w:b/>
          <w:i w:val="0"/>
          <w:color w:val="1F3B57"/>
          <w:sz w:val="32"/>
        </w:rPr>
        <w:t>Action 5 — Désigner le référent de l’employeur</w:t>
      </w:r>
    </w:p>
    <w:p>
      <w:pPr>
        <w:spacing w:after="160"/>
        <w:pBdr>
          <w:bottom w:val="single" w:sz="8" w:color="C9A84C"/>
        </w:pBdr>
      </w:pPr>
    </w:p>
    <w:p>
      <w:pPr>
        <w:spacing w:before="0" w:after="160"/>
      </w:pPr>
      <w:r>
        <w:rPr>
          <w:b w:val="0"/>
          <w:i/>
          <w:color w:val="A0842E"/>
          <w:sz w:val="20"/>
        </w:rPr>
        <w:t>Article L.1153-5-1 — entreprises d’au moins 250 salariés</w:t>
      </w:r>
    </w:p>
    <w:p>
      <w:pPr>
        <w:spacing w:before="0" w:after="100"/>
      </w:pPr>
      <w:r>
        <w:rPr>
          <w:b w:val="0"/>
          <w:i w:val="0"/>
          <w:sz w:val="21"/>
        </w:rPr>
        <w:t>Une personne accessible, distincte de la ligne hiérarchique directe des équipes exposées, capable de garder une information confidentielle. Le directeur des ressources humaines n’est pas toujours le meilleur choix : il est aussi celui qui sanctionne.</w:t>
      </w:r>
    </w:p>
    <w:p>
      <w:pPr>
        <w:spacing w:before="0" w:after="100"/>
      </w:pPr>
      <w:r>
        <w:rPr>
          <w:b w:val="0"/>
          <w:i w:val="0"/>
          <w:sz w:val="21"/>
        </w:rPr>
        <w:t>Lettre de mission écrite : périmètre, disponibilité, confidentialité, articulation avec le référent du comité, le service de santé au travail et la direction.</w:t>
      </w:r>
    </w:p>
    <w:p>
      <w:pPr>
        <w:spacing w:before="0" w:after="100"/>
      </w:pPr>
      <w:r>
        <w:rPr>
          <w:b w:val="0"/>
          <w:i w:val="0"/>
          <w:sz w:val="21"/>
        </w:rPr>
        <w:t>Point annuel avec la direction sur les signalements reçus et les suites données.</w:t>
      </w:r>
    </w:p>
    <w:p>
      <w:pPr>
        <w:spacing w:before="240" w:after="80"/>
      </w:pPr>
      <w:r>
        <w:rPr>
          <w:b/>
          <w:i w:val="0"/>
          <w:color w:val="1F3B57"/>
          <w:sz w:val="25"/>
        </w:rPr>
        <w:t>Ce que l’action produit — les pièces à conserver</w:t>
      </w:r>
    </w:p>
    <w:p>
      <w:pPr>
        <w:pStyle w:val="ListBullet"/>
        <w:spacing w:after="40"/>
      </w:pPr>
      <w:r>
        <w:rPr>
          <w:sz w:val="20"/>
        </w:rPr>
        <w:t>Note de désignation</w:t>
      </w:r>
    </w:p>
    <w:p>
      <w:pPr>
        <w:pStyle w:val="ListBullet"/>
        <w:spacing w:after="40"/>
      </w:pPr>
      <w:r>
        <w:rPr>
          <w:sz w:val="20"/>
        </w:rPr>
        <w:t>Lettre de mission</w:t>
      </w:r>
    </w:p>
    <w:p>
      <w:pPr>
        <w:pStyle w:val="ListBullet"/>
        <w:spacing w:after="40"/>
      </w:pPr>
      <w:r>
        <w:rPr>
          <w:sz w:val="20"/>
        </w:rPr>
        <w:t>Attestation de formation</w:t>
      </w:r>
    </w:p>
    <w:p>
      <w:pPr>
        <w:pStyle w:val="ListBullet"/>
        <w:spacing w:after="40"/>
      </w:pPr>
      <w:r>
        <w:rPr>
          <w:sz w:val="20"/>
        </w:rPr>
        <w:t>Compte rendu du point annuel</w:t>
      </w:r>
    </w:p>
    <w:p>
      <w:r>
        <w:br w:type="page"/>
      </w:r>
    </w:p>
    <w:p>
      <w:pPr>
        <w:spacing w:before="0" w:after="80"/>
      </w:pPr>
      <w:r>
        <w:rPr>
          <w:b/>
          <w:i w:val="0"/>
          <w:color w:val="1F3B57"/>
          <w:sz w:val="32"/>
        </w:rPr>
        <w:t>Action 6 — Écrire et diffuser la procédure de signalement</w:t>
      </w:r>
    </w:p>
    <w:p>
      <w:pPr>
        <w:spacing w:after="160"/>
        <w:pBdr>
          <w:bottom w:val="single" w:sz="8" w:color="C9A84C"/>
        </w:pBdr>
      </w:pPr>
    </w:p>
    <w:p>
      <w:pPr>
        <w:spacing w:before="0" w:after="160"/>
      </w:pPr>
      <w:r>
        <w:rPr>
          <w:b w:val="0"/>
          <w:i/>
          <w:color w:val="A0842E"/>
          <w:sz w:val="20"/>
        </w:rPr>
        <w:t>Articles L.1152-2, L.1152-4 et L.4121-1 (3°)</w:t>
      </w:r>
    </w:p>
    <w:p>
      <w:pPr>
        <w:spacing w:before="0" w:after="100"/>
      </w:pPr>
      <w:r>
        <w:rPr>
          <w:b w:val="0"/>
          <w:i w:val="0"/>
          <w:sz w:val="21"/>
        </w:rPr>
        <w:t>Plusieurs portes d’entrée, jamais une seule : supérieur hiérarchique, service RH, référent de l’entreprise, référent du comité, service de santé au travail, élu. Le salarié doit pouvoir contourner sa hiérarchie.</w:t>
      </w:r>
    </w:p>
    <w:p>
      <w:pPr>
        <w:spacing w:before="0" w:after="100"/>
      </w:pPr>
      <w:r>
        <w:rPr>
          <w:b w:val="0"/>
          <w:i w:val="0"/>
          <w:sz w:val="21"/>
        </w:rPr>
        <w:t>Les délais, écrits et tenus : accusé de réception sous quarante-huit heures, première mesure sous huit jours. C’est la « réaction immédiate » que la jurisprudence exige.</w:t>
      </w:r>
    </w:p>
    <w:p>
      <w:pPr>
        <w:spacing w:before="0" w:after="100"/>
      </w:pPr>
      <w:r>
        <w:rPr>
          <w:b w:val="0"/>
          <w:i w:val="0"/>
          <w:sz w:val="21"/>
        </w:rPr>
        <w:t>Les mesures conservatoires : séparer sans sanctionner. Ne JAMAIS déplacer la victime contre son gré. Mise à pied conservatoire de l’auteur présumé si les faits sont graves — mesure d’attente, pas sanction.</w:t>
      </w:r>
    </w:p>
    <w:p>
      <w:pPr>
        <w:spacing w:before="0" w:after="100"/>
      </w:pPr>
      <w:r>
        <w:rPr>
          <w:b w:val="0"/>
          <w:i w:val="0"/>
          <w:sz w:val="21"/>
        </w:rPr>
        <w:t>La confidentialité : qui sait quoi, où se tiennent les auditions, comment les notes sont conservées. Une rumeur qui part de l’enquête est imputable à l’employeur.</w:t>
      </w:r>
    </w:p>
    <w:p>
      <w:pPr>
        <w:spacing w:before="0" w:after="100"/>
      </w:pPr>
      <w:r>
        <w:rPr>
          <w:b w:val="0"/>
          <w:i w:val="0"/>
          <w:sz w:val="21"/>
        </w:rPr>
        <w:t>La protection du salarié qui dénonce, écrite en toutes lettres : c’est ce qui délie les langues.</w:t>
      </w:r>
    </w:p>
    <w:p>
      <w:pPr>
        <w:spacing w:before="240" w:after="80"/>
      </w:pPr>
      <w:r>
        <w:rPr>
          <w:b/>
          <w:i w:val="0"/>
          <w:color w:val="1F3B57"/>
          <w:sz w:val="25"/>
        </w:rPr>
        <w:t>Ce que l’action produit — les pièces à conserver</w:t>
      </w:r>
    </w:p>
    <w:p>
      <w:pPr>
        <w:pStyle w:val="ListBullet"/>
        <w:spacing w:after="40"/>
      </w:pPr>
      <w:r>
        <w:rPr>
          <w:sz w:val="20"/>
        </w:rPr>
        <w:t>Procédure écrite</w:t>
      </w:r>
    </w:p>
    <w:p>
      <w:pPr>
        <w:pStyle w:val="ListBullet"/>
        <w:spacing w:after="40"/>
      </w:pPr>
      <w:r>
        <w:rPr>
          <w:sz w:val="20"/>
        </w:rPr>
        <w:t>Preuve de diffusion horodatée</w:t>
      </w:r>
    </w:p>
    <w:p>
      <w:pPr>
        <w:pStyle w:val="ListBullet"/>
        <w:spacing w:after="40"/>
      </w:pPr>
      <w:r>
        <w:rPr>
          <w:sz w:val="20"/>
        </w:rPr>
        <w:t>Modèles : accusé de réception, convocation, compte rendu, décision</w:t>
      </w:r>
    </w:p>
    <w:p>
      <w:r>
        <w:br w:type="page"/>
      </w:r>
    </w:p>
    <w:p>
      <w:pPr>
        <w:spacing w:before="0" w:after="80"/>
      </w:pPr>
      <w:r>
        <w:rPr>
          <w:b/>
          <w:i w:val="0"/>
          <w:color w:val="1F3B57"/>
          <w:sz w:val="32"/>
        </w:rPr>
        <w:t>Action 7 — Former les dirigeants et l’encadrement</w:t>
      </w:r>
    </w:p>
    <w:p>
      <w:pPr>
        <w:spacing w:after="160"/>
        <w:pBdr>
          <w:bottom w:val="single" w:sz="8" w:color="C9A84C"/>
        </w:pBdr>
      </w:pPr>
    </w:p>
    <w:p>
      <w:pPr>
        <w:spacing w:before="0" w:after="160"/>
      </w:pPr>
      <w:r>
        <w:rPr>
          <w:b w:val="0"/>
          <w:i/>
          <w:color w:val="A0842E"/>
          <w:sz w:val="20"/>
        </w:rPr>
        <w:t>Article L.4121-1 (2°) — programme de formation, sept heures</w:t>
      </w:r>
    </w:p>
    <w:p>
      <w:pPr>
        <w:spacing w:before="0" w:after="120"/>
      </w:pPr>
      <w:r>
        <w:rPr>
          <w:b/>
          <w:i w:val="0"/>
          <w:sz w:val="21"/>
        </w:rPr>
        <w:t>Public : toute personne exerçant une autorité hiérarchique, sans exception — y compris les chefs d’équipe, les tuteurs et les responsables de projet.</w:t>
      </w:r>
    </w:p>
    <w:p>
      <w:pPr>
        <w:spacing w:before="0" w:after="120"/>
      </w:pPr>
      <w:r>
        <w:rPr>
          <w:b/>
          <w:i w:val="0"/>
          <w:sz w:val="21"/>
        </w:rPr>
        <w:t>Durée : une journée, sept heures. Rappel de deux heures tous les deux ans.</w:t>
      </w:r>
    </w:p>
    <w:p>
      <w:pPr>
        <w:spacing w:before="0" w:after="120"/>
      </w:pPr>
      <w:r>
        <w:rPr>
          <w:b/>
          <w:i w:val="0"/>
          <w:sz w:val="21"/>
        </w:rPr>
        <w:t>Effectif par session : douze à quinze participants au maximum. Au-delà, les mises en situation ne fonctionnent plus.</w:t>
      </w:r>
    </w:p>
    <w:p>
      <w:pPr>
        <w:spacing w:before="160" w:after="200"/>
      </w:pPr>
      <w:r>
        <w:rPr>
          <w:b w:val="0"/>
          <w:i w:val="0"/>
          <w:sz w:val="21"/>
        </w:rPr>
        <w:t>Objectif. C’est la formation qui exonère. La Cour de cassation invite les juges à rechercher si l’employeur avait mis en œuvre des actions d’information et de formation propres à prévenir la survenance de faits de harcèlement moral. Sans elle, tout le reste tombe.</w:t>
      </w:r>
    </w:p>
    <w:p>
      <w:pPr>
        <w:spacing w:before="200" w:after="40"/>
      </w:pPr>
      <w:r>
        <w:rPr>
          <w:b/>
          <w:sz w:val="22"/>
        </w:rPr>
        <w:t>Module 1 — La définition, et les trois pièges qu’elle contient</w:t>
      </w:r>
      <w:r>
        <w:rPr>
          <w:b/>
          <w:color w:val="A0842E"/>
          <w:sz w:val="19"/>
        </w:rPr>
        <w:t xml:space="preserve">   45 min</w:t>
      </w:r>
    </w:p>
    <w:p>
      <w:pPr>
        <w:spacing w:before="0" w:after="100"/>
      </w:pPr>
      <w:r>
        <w:rPr>
          <w:b w:val="0"/>
          <w:i w:val="0"/>
          <w:sz w:val="21"/>
        </w:rPr>
        <w:t>Lecture commentée de l’article L.1152-1 : des agissements RÉPÉTÉS, qui ont pour OBJET OU POUR EFFET une dégradation des conditions de travail SUSCEPTIBLE de porter atteinte aux droits et à la dignité, d’altérer la santé physique ou mentale, ou de compromettre l’avenir professionnel.</w:t>
      </w:r>
    </w:p>
    <w:p>
      <w:pPr>
        <w:spacing w:before="0" w:after="100"/>
      </w:pPr>
      <w:r>
        <w:rPr>
          <w:b w:val="0"/>
          <w:i w:val="0"/>
          <w:sz w:val="21"/>
        </w:rPr>
        <w:t>Premier piège — « répétés » n’exige pas des faits de nature différente. Exiger des agissements de nature différente ajoute à la loi une condition qu’elle ne comporte pas : un même fait, répété dans le temps, suffit (Cass. crim., 26 janvier 2016, n° 14-80.455). À défaut de répétition d’un fait unique, deux faits distincts suffisent (Cass. soc., 11 mars 2025, n° 23-16.415). Seul le fait survenu une seule fois est exclu (Cass. soc., 22 janvier 2014, n° 12-29.131).</w:t>
      </w:r>
    </w:p>
    <w:p>
      <w:pPr>
        <w:spacing w:before="0" w:after="100"/>
      </w:pPr>
      <w:r>
        <w:rPr>
          <w:b w:val="0"/>
          <w:i w:val="0"/>
          <w:sz w:val="21"/>
        </w:rPr>
        <w:t>Deuxième piège — la durée n’est pas une condition. Le harcèlement a été retenu sur dix-sept jours (Cass. soc., 6 avril 2011, n° 09-71.170).</w:t>
      </w:r>
    </w:p>
    <w:p>
      <w:pPr>
        <w:spacing w:before="0" w:after="100"/>
      </w:pPr>
      <w:r>
        <w:rPr>
          <w:b w:val="0"/>
          <w:i w:val="0"/>
          <w:sz w:val="21"/>
        </w:rPr>
        <w:t>Troisième piège — l’atteinte n’a pas à être réalisée. Le texte dit « susceptible ». Ni la dégradation effective des conditions de travail ni l’altération avérée de la santé ne sont exigées (Cass. soc., 11 mars 2025, n° 23-16.415).</w:t>
      </w:r>
    </w:p>
    <w:p>
      <w:pPr>
        <w:spacing w:after="100"/>
      </w:pPr>
      <w:r>
        <w:rPr>
          <w:b/>
          <w:color w:val="B23B3B"/>
          <w:sz w:val="20"/>
        </w:rPr>
        <w:t xml:space="preserve">Le piège. </w:t>
      </w:r>
      <w:r>
        <w:rPr>
          <w:sz w:val="20"/>
        </w:rPr>
        <w:t>« Ça n’a duré que trois semaines » et « elle n’a jamais été en arrêt » ne sont pas des moyens de défense. Ce sont deux erreurs classiques d’encadrants, et deux aveux.</w:t>
      </w:r>
    </w:p>
    <w:p>
      <w:pPr>
        <w:spacing w:before="200" w:after="40"/>
      </w:pPr>
      <w:r>
        <w:rPr>
          <w:b/>
          <w:sz w:val="22"/>
        </w:rPr>
        <w:t>Module 2 — L’intention ne compte pas</w:t>
      </w:r>
      <w:r>
        <w:rPr>
          <w:b/>
          <w:color w:val="A0842E"/>
          <w:sz w:val="19"/>
        </w:rPr>
        <w:t xml:space="preserve">   30 min</w:t>
      </w:r>
    </w:p>
    <w:p>
      <w:pPr>
        <w:spacing w:before="0" w:after="100"/>
      </w:pPr>
      <w:r>
        <w:rPr>
          <w:b w:val="0"/>
          <w:i w:val="0"/>
          <w:sz w:val="21"/>
        </w:rPr>
        <w:t>On peut harceler sans le vouloir. L’intention de nuire n’est pas exigée pour caractériser le harcèlement moral (Cass. soc., 10 novembre 2009, n° 08-41.497). Un encadrant convaincu de bien faire, qui met la pression « pour le bien du service » ou « parce qu’elle a besoin d’être recadrée », peut être l’auteur de faits de harcèlement.</w:t>
      </w:r>
    </w:p>
    <w:p>
      <w:pPr>
        <w:spacing w:before="0" w:after="100"/>
      </w:pPr>
      <w:r>
        <w:rPr>
          <w:b w:val="0"/>
          <w:i w:val="0"/>
          <w:sz w:val="21"/>
        </w:rPr>
        <w:t>Ce module est le plus difficile à faire admettre et le plus important. Il faut y consacrer le temps nécessaire, y compris pour laisser s’exprimer les objections — « alors on ne peut plus rien dire » — et y répondre par le module 4, sur ce que les juges écartent.</w:t>
      </w:r>
    </w:p>
    <w:p>
      <w:pPr>
        <w:spacing w:before="0" w:after="100"/>
      </w:pPr>
      <w:r>
        <w:rPr>
          <w:b w:val="0"/>
          <w:i w:val="0"/>
          <w:sz w:val="21"/>
        </w:rPr>
        <w:t>Corollaire : aucun lien de subordination n’est requis. L’auteur peut être l’employeur, un supérieur, un collègue, voire une personne étrangère à l’entreprise (Cass. soc., 1er mars 2011, n° 09-69.616). L’encadrant qui laisse une équipe organiser la mise à l’écart d’un collègue est en cause au titre de son obligation de sécurité.</w:t>
      </w:r>
    </w:p>
    <w:p>
      <w:pPr>
        <w:spacing w:before="200" w:after="40"/>
      </w:pPr>
      <w:r>
        <w:rPr>
          <w:b/>
          <w:sz w:val="22"/>
        </w:rPr>
        <w:t>Module 3 — Ce que les juges retiennent</w:t>
      </w:r>
      <w:r>
        <w:rPr>
          <w:b/>
          <w:color w:val="A0842E"/>
          <w:sz w:val="19"/>
        </w:rPr>
        <w:t xml:space="preserve">   1 h 30, sur cas réels</w:t>
      </w:r>
    </w:p>
    <w:p>
      <w:pPr>
        <w:spacing w:before="0" w:after="100"/>
      </w:pPr>
      <w:r>
        <w:rPr>
          <w:b w:val="0"/>
          <w:i w:val="0"/>
          <w:sz w:val="21"/>
        </w:rPr>
        <w:t>Neuf cas, distribués sur fiche, discutés en sous-groupes puis restitués. Pour chacun : les faits, la décision, et ce que l’encadrant aurait dû faire.</w:t>
      </w:r>
    </w:p>
    <w:p>
      <w:pPr>
        <w:spacing w:before="0" w:after="100"/>
      </w:pPr>
      <w:r>
        <w:rPr>
          <w:b w:val="0"/>
          <w:i w:val="0"/>
          <w:sz w:val="21"/>
        </w:rPr>
        <w:t>1. Mutation irrégulière avec changement de résidence, puis poste de chargé de mission peu à peu vidé de son contenu (Cass. soc., 3 décembre 2008, n° 07-41.491).</w:t>
      </w:r>
    </w:p>
    <w:p>
      <w:pPr>
        <w:spacing w:before="0" w:after="100"/>
      </w:pPr>
      <w:r>
        <w:rPr>
          <w:b w:val="0"/>
          <w:i w:val="0"/>
          <w:sz w:val="21"/>
        </w:rPr>
        <w:t>2. Refus de laisser reprendre le travail au retour de congé maternité, retrait de responsabilités et mise à pied injustifiée de huit jours (Cass. soc., 7 juillet 2009, n° 07-44.590).</w:t>
      </w:r>
    </w:p>
    <w:p>
      <w:pPr>
        <w:spacing w:before="0" w:after="100"/>
      </w:pPr>
      <w:r>
        <w:rPr>
          <w:b w:val="0"/>
          <w:i w:val="0"/>
          <w:sz w:val="21"/>
        </w:rPr>
        <w:t>3. Changements quotidiens de tâches et interdiction faite aux autres salariés de lui adresser la parole (Cass. soc., 6 avril 2011, n° 09-71.170).</w:t>
      </w:r>
    </w:p>
    <w:p>
      <w:pPr>
        <w:spacing w:before="0" w:after="100"/>
      </w:pPr>
      <w:r>
        <w:rPr>
          <w:b w:val="0"/>
          <w:i w:val="0"/>
          <w:sz w:val="21"/>
        </w:rPr>
        <w:t>4. Affectation dans un local exigu, sans chauffage correct, sans outils de travail, isolé des collègues, avec des réflexions mettant en doute son équilibre psychologique (Cass. soc., 29 juin 2005, n° 03-44.055).</w:t>
      </w:r>
    </w:p>
    <w:p>
      <w:pPr>
        <w:spacing w:before="0" w:after="100"/>
      </w:pPr>
      <w:r>
        <w:rPr>
          <w:b w:val="0"/>
          <w:i w:val="0"/>
          <w:sz w:val="21"/>
        </w:rPr>
        <w:t>5. Plus aucun travail fourni pendant plus de deux ans, avec obligation de se présenter chaque jour dans les locaux d’une société tierce (Cass. soc., 19 octobre 2010, n° 09-42.391).</w:t>
      </w:r>
    </w:p>
    <w:p>
      <w:pPr>
        <w:spacing w:before="0" w:after="100"/>
      </w:pPr>
      <w:r>
        <w:rPr>
          <w:b w:val="0"/>
          <w:i w:val="0"/>
          <w:sz w:val="21"/>
        </w:rPr>
        <w:t>6. Mise à l’écart organisée par six collègues d’une aide-soignante après un aménagement de planning perçu comme un privilège (Cass. crim., 26 janvier 2016, n° 14-80.455).</w:t>
      </w:r>
    </w:p>
    <w:p>
      <w:pPr>
        <w:spacing w:before="0" w:after="100"/>
      </w:pPr>
      <w:r>
        <w:rPr>
          <w:b w:val="0"/>
          <w:i w:val="0"/>
          <w:sz w:val="21"/>
        </w:rPr>
        <w:t>7. Avertissement injustifié et absence de consultation de la salariée sur la fixation de ses congés, l’employeur ne justifiant pas que ces faits étaient étrangers à tout harcèlement (Cass. soc., 11 mars 2025, n° 23-16.415).</w:t>
      </w:r>
    </w:p>
    <w:p>
      <w:pPr>
        <w:spacing w:before="0" w:after="100"/>
      </w:pPr>
      <w:r>
        <w:rPr>
          <w:b w:val="0"/>
          <w:i w:val="0"/>
          <w:sz w:val="21"/>
        </w:rPr>
        <w:t>8. Absence d’aide de l’équipe, privation des moyens de travail, suppression de l’accès au répertoire ressources (Cass. soc., 11 mars 2026, n° 24-21.502).</w:t>
      </w:r>
    </w:p>
    <w:p>
      <w:pPr>
        <w:spacing w:before="0" w:after="100"/>
      </w:pPr>
      <w:r>
        <w:rPr>
          <w:b w:val="0"/>
          <w:i w:val="0"/>
          <w:sz w:val="21"/>
        </w:rPr>
        <w:t>9. Pressions exercées pour faire accepter une rupture conventionnelle (Cass. soc., 10 juillet 2024, n° 23-14.900).</w:t>
      </w:r>
    </w:p>
    <w:p>
      <w:pPr>
        <w:spacing w:after="100"/>
      </w:pPr>
      <w:r>
        <w:rPr>
          <w:b/>
          <w:color w:val="A0842E"/>
          <w:sz w:val="20"/>
        </w:rPr>
        <w:t xml:space="preserve">Exercice. </w:t>
      </w:r>
      <w:r>
        <w:rPr>
          <w:sz w:val="20"/>
        </w:rPr>
        <w:t>Chaque sous-groupe reçoit trois cas sans la solution. Il doit dire s’il retiendrait le harcèlement et pourquoi. La restitution confronte les réponses à la décision réelle.</w:t>
      </w:r>
    </w:p>
    <w:p>
      <w:pPr>
        <w:spacing w:before="200" w:after="40"/>
      </w:pPr>
      <w:r>
        <w:rPr>
          <w:b/>
          <w:sz w:val="22"/>
        </w:rPr>
        <w:t>Module 4 — Ce que les juges écartent</w:t>
      </w:r>
      <w:r>
        <w:rPr>
          <w:b/>
          <w:color w:val="A0842E"/>
          <w:sz w:val="19"/>
        </w:rPr>
        <w:t xml:space="preserve">   45 min</w:t>
      </w:r>
    </w:p>
    <w:p>
      <w:pPr>
        <w:spacing w:before="0" w:after="100"/>
      </w:pPr>
      <w:r>
        <w:rPr>
          <w:b w:val="0"/>
          <w:i w:val="0"/>
          <w:sz w:val="21"/>
        </w:rPr>
        <w:t>C’est la réponse à l’objection « on ne peut plus rien dire ». La jurisprudence distingue le harcèlement des décisions de gestion légitimes : évaluer, réorganiser, sanctionner à bon droit ne sont pas des actes de harcèlement, dès lors que ces décisions reposent sur des éléments objectifs.</w:t>
      </w:r>
    </w:p>
    <w:p>
      <w:pPr>
        <w:spacing w:before="0" w:after="100"/>
      </w:pPr>
      <w:r>
        <w:rPr>
          <w:b w:val="0"/>
          <w:i w:val="0"/>
          <w:sz w:val="21"/>
        </w:rPr>
        <w:t>1. Deux sanctions disciplinaires en un mois, même irrégulières, ne constituent pas en soi un harcèlement (Cass. soc., 16 juin 2004, n° 02-41.795).</w:t>
      </w:r>
    </w:p>
    <w:p>
      <w:pPr>
        <w:spacing w:before="0" w:after="100"/>
      </w:pPr>
      <w:r>
        <w:rPr>
          <w:b w:val="0"/>
          <w:i w:val="0"/>
          <w:sz w:val="21"/>
        </w:rPr>
        <w:t>2. Le fait unique, non répété, est exclu de la qualification (Cass. soc., 22 janvier 2014, n° 12-29.131).</w:t>
      </w:r>
    </w:p>
    <w:p>
      <w:pPr>
        <w:spacing w:before="0" w:after="100"/>
      </w:pPr>
      <w:r>
        <w:rPr>
          <w:b w:val="0"/>
          <w:i w:val="0"/>
          <w:sz w:val="21"/>
        </w:rPr>
        <w:t>3. Des accusations générales, des tracts critiques et une attestation ne suffisent pas : il faut des faits précis, datés et concordants. Le simple ressenti ou des affirmations vagues ne franchissent pas le seuil de la présomption (Cass. soc., 9 juin 2010, n° 09-40.544).</w:t>
      </w:r>
    </w:p>
    <w:p>
      <w:pPr>
        <w:spacing w:before="0" w:after="100"/>
      </w:pPr>
      <w:r>
        <w:rPr>
          <w:b w:val="0"/>
          <w:i w:val="0"/>
          <w:sz w:val="21"/>
        </w:rPr>
        <w:t>4. Une mésentente réciproque entre collègues n’est pas un harcèlement : la qualification suppose que la responsabilité de chacun soit clairement établie, et non un conflit aux torts partagés (Cass. soc., 4 novembre 2015, n° 14-12.281).</w:t>
      </w:r>
    </w:p>
    <w:p>
      <w:pPr>
        <w:spacing w:after="100"/>
      </w:pPr>
      <w:r>
        <w:rPr>
          <w:b/>
          <w:color w:val="B23B3B"/>
          <w:sz w:val="20"/>
        </w:rPr>
        <w:t xml:space="preserve">Le piège. </w:t>
      </w:r>
      <w:r>
        <w:rPr>
          <w:sz w:val="20"/>
        </w:rPr>
        <w:t>Cette limite n’est pas un permis. Elle ne joue que si les décisions sont objectivées — c’est-à-dire écrites, motivées, datées. Sans trace, la limite ne protège personne.</w:t>
      </w:r>
    </w:p>
    <w:p>
      <w:pPr>
        <w:spacing w:before="200" w:after="40"/>
      </w:pPr>
      <w:r>
        <w:rPr>
          <w:b/>
          <w:sz w:val="22"/>
        </w:rPr>
        <w:t>Module 5 — Le harcèlement managérial et institutionnel</w:t>
      </w:r>
      <w:r>
        <w:rPr>
          <w:b/>
          <w:color w:val="A0842E"/>
          <w:sz w:val="19"/>
        </w:rPr>
        <w:t xml:space="preserve">   45 min</w:t>
      </w:r>
    </w:p>
    <w:p>
      <w:pPr>
        <w:spacing w:before="0" w:after="100"/>
      </w:pPr>
      <w:r>
        <w:rPr>
          <w:b w:val="0"/>
          <w:i w:val="0"/>
          <w:sz w:val="21"/>
        </w:rPr>
        <w:t>Peuvent caractériser un harcèlement moral les méthodes de gestion mises en œuvre par un supérieur hiérarchique dès lors qu’elles se manifestent, pour un salarié déterminé, par des agissements répétés ayant pour objet ou pour effet d’entraîner une dégradation des conditions de travail (Cass. soc., 10 novembre 2009, n° 07-45.321). Dans cette affaire : pression continuelle, reproches incessants, ordres et contre-ordres dans l’intention de diviser l’équipe, se traduisant pour le demandeur par une mise à l’écart, un mépris affiché et une communication réduite à un tableau.</w:t>
      </w:r>
    </w:p>
    <w:p>
      <w:pPr>
        <w:spacing w:before="0" w:after="100"/>
      </w:pPr>
      <w:r>
        <w:rPr>
          <w:b w:val="0"/>
          <w:i w:val="0"/>
          <w:sz w:val="21"/>
        </w:rPr>
        <w:t>Le harcèlement institutionnel va plus loin : il se caractérise par des agissements visant à arrêter et mettre en œuvre, en connaissance de cause, une politique d’entreprise qui a pour objet ou pour effet de dégrader les conditions de travail de tout ou partie des salariés, aux fins de parvenir à une réduction des effectifs ou d’atteindre tout autre objectif managérial, économique ou financier (Cass. crim., 21 janvier 2025, n° 22-87.145).</w:t>
      </w:r>
    </w:p>
    <w:p>
      <w:pPr>
        <w:spacing w:before="0" w:after="100"/>
      </w:pPr>
      <w:r>
        <w:rPr>
          <w:b w:val="0"/>
          <w:i w:val="0"/>
          <w:sz w:val="21"/>
        </w:rPr>
        <w:t>Dans l’affaire France Télécom, les juges ont relevé la pression donnée au contrôle des départs à tous les niveaux de la chaîne hiérarchique, la prise en compte des départs dans la rémunération de l’encadrement, et le conditionnement de la hiérarchie intermédiaire lors des formations dispensées. La faute la plus importante, disent-ils, a été le passage d’un objectif indicatif à un objectif impératif à atteindre « coûte que coûte ».</w:t>
      </w:r>
    </w:p>
    <w:p>
      <w:pPr>
        <w:spacing w:after="100"/>
      </w:pPr>
      <w:r>
        <w:rPr>
          <w:b/>
          <w:color w:val="B23B3B"/>
          <w:sz w:val="20"/>
        </w:rPr>
        <w:t xml:space="preserve">Le piège. </w:t>
      </w:r>
      <w:r>
        <w:rPr>
          <w:sz w:val="20"/>
        </w:rPr>
        <w:t>Un objectif chiffré de départs, un classement des managers sur le nombre de ruptures obtenues, un discours de formation qui prépare à « accompagner la sortie » : ces trois éléments réunis suffisent à ouvrir un dossier pénal.</w:t>
      </w:r>
    </w:p>
    <w:p>
      <w:pPr>
        <w:spacing w:before="200" w:after="40"/>
      </w:pPr>
      <w:r>
        <w:rPr>
          <w:b/>
          <w:sz w:val="22"/>
        </w:rPr>
        <w:t>Module 6 — Objectiver ses décisions</w:t>
      </w:r>
      <w:r>
        <w:rPr>
          <w:b/>
          <w:color w:val="A0842E"/>
          <w:sz w:val="19"/>
        </w:rPr>
        <w:t xml:space="preserve">   1 h, exercice individuel puis collectif</w:t>
      </w:r>
    </w:p>
    <w:p>
      <w:pPr>
        <w:spacing w:before="0" w:after="100"/>
      </w:pPr>
      <w:r>
        <w:rPr>
          <w:b w:val="0"/>
          <w:i w:val="0"/>
          <w:sz w:val="21"/>
        </w:rPr>
        <w:t>Le régime de la preuve est aménagé : le salarié présente des éléments de fait laissant supposer l’existence d’un harcèlement, et il incombe alors à l’employeur de prouver que ces agissements ne sont pas constitutifs d’un harcèlement et que sa décision est justifiée par des éléments objectifs étrangers à tout harcèlement (article L.1154-1).</w:t>
      </w:r>
    </w:p>
    <w:p>
      <w:pPr>
        <w:spacing w:before="0" w:after="100"/>
      </w:pPr>
      <w:r>
        <w:rPr>
          <w:b w:val="0"/>
          <w:i w:val="0"/>
          <w:sz w:val="21"/>
        </w:rPr>
        <w:t>Ce que cela impose à l’encadrant : toute décision défavorable — refus de congé, changement d’affectation, retrait d’un dossier, évaluation basse, avertissement — doit pouvoir être justifiée par un élément objectif, écrit et daté, indépendant de la personne.</w:t>
      </w:r>
    </w:p>
    <w:p>
      <w:pPr>
        <w:spacing w:before="0" w:after="100"/>
      </w:pPr>
      <w:r>
        <w:rPr>
          <w:b w:val="0"/>
          <w:i w:val="0"/>
          <w:sz w:val="21"/>
        </w:rPr>
        <w:t>La méthode enseignée tient en quatre questions, à écrire avant de décider : quel est le fait objectif qui fonde ma décision ? où est-il tracé ? aurais-je pris la même décision pour un autre salarié ? qu’est-ce que le salarié pourra en dire ?</w:t>
      </w:r>
    </w:p>
    <w:p>
      <w:pPr>
        <w:spacing w:before="0" w:after="100"/>
      </w:pPr>
      <w:r>
        <w:rPr>
          <w:b w:val="0"/>
          <w:i w:val="0"/>
          <w:sz w:val="21"/>
        </w:rPr>
        <w:t>Et le juge apprécie les faits DANS LEUR ENSEMBLE. L’analyse fait par fait est censurée (Cass. soc., 11 mars 2026, n° 24-21.502). Un cumul de décisions anodines prises isolément peut caractériser un harcèlement : c’est l’accumulation qu’il faut surveiller, pas chaque décision prise à part.</w:t>
      </w:r>
    </w:p>
    <w:p>
      <w:pPr>
        <w:spacing w:after="100"/>
      </w:pPr>
      <w:r>
        <w:rPr>
          <w:b/>
          <w:color w:val="A0842E"/>
          <w:sz w:val="20"/>
        </w:rPr>
        <w:t xml:space="preserve">Exercice. </w:t>
      </w:r>
      <w:r>
        <w:rPr>
          <w:sz w:val="20"/>
        </w:rPr>
        <w:t>Chaque participant reprend trois décisions défavorables qu’il a prises dans les six derniers mois et écrit, pour chacune : le fait objectif, sa trace, et la phrase qu’il dirait au juge. Les cas les plus fragiles sont repris en collectif.</w:t>
      </w:r>
    </w:p>
    <w:p>
      <w:pPr>
        <w:spacing w:before="200" w:after="40"/>
      </w:pPr>
      <w:r>
        <w:rPr>
          <w:b/>
          <w:sz w:val="22"/>
        </w:rPr>
        <w:t>Module 7 — Recevoir un signalement</w:t>
      </w:r>
      <w:r>
        <w:rPr>
          <w:b/>
          <w:color w:val="A0842E"/>
          <w:sz w:val="19"/>
        </w:rPr>
        <w:t xml:space="preserve">   1 h, mises en situation</w:t>
      </w:r>
    </w:p>
    <w:p>
      <w:pPr>
        <w:spacing w:before="0" w:after="100"/>
      </w:pPr>
      <w:r>
        <w:rPr>
          <w:b w:val="0"/>
          <w:i w:val="0"/>
          <w:sz w:val="21"/>
        </w:rPr>
        <w:t>Ce qu’on fait : écouter sans interrompre, prendre des notes factuelles et datées, reformuler, dire ce qui va se passer et sous quel délai, transmettre immédiatement au référent et au service des ressources humaines, écrire le compte rendu le jour même.</w:t>
      </w:r>
    </w:p>
    <w:p>
      <w:pPr>
        <w:spacing w:before="0" w:after="100"/>
      </w:pPr>
      <w:r>
        <w:rPr>
          <w:b w:val="0"/>
          <w:i w:val="0"/>
          <w:sz w:val="21"/>
        </w:rPr>
        <w:t>Ce qu’on ne fait pas : minimiser (« vous êtes sûr que ce n’est pas un malentendu ? »), promettre le secret absolu, enquêter seul, confronter les parties, prévenir l’auteur présumé, en parler à l’équipe, ou attendre « de voir si ça se tasse ».</w:t>
      </w:r>
    </w:p>
    <w:p>
      <w:pPr>
        <w:spacing w:before="0" w:after="100"/>
      </w:pPr>
      <w:r>
        <w:rPr>
          <w:b w:val="0"/>
          <w:i w:val="0"/>
          <w:sz w:val="21"/>
        </w:rPr>
        <w:t>Point capital : le salarié n’a pas à employer le mot « harcèlement » pour que l’obligation d’agir se déclenche. C’est la révélation des faits qui l’enclenche, non les mots employés (Cass. soc., 8 janvier 2025, n° 23-19.996). « Je n’en peux plus de la manière dont il me parle » est un signalement.</w:t>
      </w:r>
    </w:p>
    <w:p>
      <w:pPr>
        <w:spacing w:before="0" w:after="100"/>
      </w:pPr>
      <w:r>
        <w:rPr>
          <w:b w:val="0"/>
          <w:i w:val="0"/>
          <w:sz w:val="21"/>
        </w:rPr>
        <w:t>Trois mises en situation jouées : le salarié qui minimise lui-même, le salarié qui accuse sans faits, le témoin qui parle à la place de la victime.</w:t>
      </w:r>
    </w:p>
    <w:p>
      <w:pPr>
        <w:spacing w:after="100"/>
      </w:pPr>
      <w:r>
        <w:rPr>
          <w:b/>
          <w:color w:val="B23B3B"/>
          <w:sz w:val="20"/>
        </w:rPr>
        <w:t xml:space="preserve">Le piège. </w:t>
      </w:r>
      <w:r>
        <w:rPr>
          <w:sz w:val="20"/>
        </w:rPr>
        <w:t>« Elle ne m’a jamais parlé de harcèlement » est le premier argument des employeurs, et celui qui tombe le plus souvent.</w:t>
      </w:r>
    </w:p>
    <w:p>
      <w:pPr>
        <w:spacing w:before="200" w:after="40"/>
      </w:pPr>
      <w:r>
        <w:rPr>
          <w:b/>
          <w:sz w:val="22"/>
        </w:rPr>
        <w:t>Module 8 — Les conséquences, chiffrées</w:t>
      </w:r>
      <w:r>
        <w:rPr>
          <w:b/>
          <w:color w:val="A0842E"/>
          <w:sz w:val="19"/>
        </w:rPr>
        <w:t xml:space="preserve">   30 min</w:t>
      </w:r>
    </w:p>
    <w:p>
      <w:pPr>
        <w:spacing w:before="0" w:after="100"/>
      </w:pPr>
      <w:r>
        <w:rPr>
          <w:b w:val="0"/>
          <w:i w:val="0"/>
          <w:sz w:val="21"/>
        </w:rPr>
        <w:t>Pour l’entreprise. Si le licenciement est fondé sur le harcèlement subi, refusé ou dénoncé, il est NUL (article L.1152-3). Le salarié choisit alors entre la réintégration — avec rappel de l’intégralité des salaires jusqu’à la réintégration effective — et une indemnité qui ne peut être inférieure à six mois de salaire, SANS PLAFOND : le barème de l’article L.1235-3 ne s’applique pas.</w:t>
      </w:r>
    </w:p>
    <w:p>
      <w:pPr>
        <w:spacing w:before="0" w:after="100"/>
      </w:pPr>
      <w:r>
        <w:rPr>
          <w:b w:val="0"/>
          <w:i w:val="0"/>
          <w:sz w:val="21"/>
        </w:rPr>
        <w:t>S’y ajoutent, de manière distincte et cumulable, des dommages-intérêts réparant le préjudice subi du seul fait des agissements de harcèlement (Cass. soc., 1er juin 2023, n° 21-23.438).</w:t>
      </w:r>
    </w:p>
    <w:p>
      <w:pPr>
        <w:spacing w:before="0" w:after="100"/>
      </w:pPr>
      <w:r>
        <w:rPr>
          <w:b w:val="0"/>
          <w:i w:val="0"/>
          <w:sz w:val="21"/>
        </w:rPr>
        <w:t>Mais — et c’est ce qui sauve les dossiers — la nullité suppose un lien : l’existence du harcèlement ne suffit pas, il faut que le licenciement ait été prononcé POUR avoir subi, refusé de subir ou dénoncé ces agissements (Cass. soc., 9 avril 2025, n° 24-11.421 ; Cass. soc., 6 mai 2025, n° 23-22.588). D’où la règle enseignée au module 6 : documenter le motif, séparément et à l’avance.</w:t>
      </w:r>
    </w:p>
    <w:p>
      <w:pPr>
        <w:spacing w:before="0" w:after="100"/>
      </w:pPr>
      <w:r>
        <w:rPr>
          <w:b w:val="0"/>
          <w:i w:val="0"/>
          <w:sz w:val="21"/>
        </w:rPr>
        <w:t>Pour l’auteur personnellement. Le harcèlement moral est puni de deux ans d’emprisonnement et de 30 000 € d’amende (article 222-33-2 du code pénal). La sanction disciplinaire, jusqu’au licenciement pour faute grave, est encourue indépendamment.</w:t>
      </w:r>
    </w:p>
    <w:p>
      <w:pPr>
        <w:spacing w:after="100"/>
      </w:pPr>
      <w:r>
        <w:rPr>
          <w:b/>
          <w:color w:val="B23B3B"/>
          <w:sz w:val="20"/>
        </w:rPr>
        <w:t xml:space="preserve">Le piège. </w:t>
      </w:r>
      <w:r>
        <w:rPr>
          <w:sz w:val="20"/>
        </w:rPr>
        <w:t>Un manager qui apprend au module 8 qu’il risque personnellement le pénal écoute différemment les modules 1 à 7. C’est pour cela qu’on ne le place pas en premier.</w:t>
      </w:r>
    </w:p>
    <w:p>
      <w:pPr>
        <w:spacing w:before="200" w:after="40"/>
      </w:pPr>
      <w:r>
        <w:rPr>
          <w:b/>
          <w:sz w:val="22"/>
        </w:rPr>
        <w:t>Module 9 — Évaluation</w:t>
      </w:r>
      <w:r>
        <w:rPr>
          <w:b/>
          <w:color w:val="A0842E"/>
          <w:sz w:val="19"/>
        </w:rPr>
        <w:t xml:space="preserve">   15 min</w:t>
      </w:r>
    </w:p>
    <w:p>
      <w:pPr>
        <w:spacing w:before="0" w:after="100"/>
      </w:pPr>
      <w:r>
        <w:rPr>
          <w:b w:val="0"/>
          <w:i w:val="0"/>
          <w:sz w:val="21"/>
        </w:rPr>
        <w:t>Un questionnaire de dix situations à qualifier : harcèlement, pas harcèlement, ou « il manque un élément — lequel ? ». Correction immédiate et commentée.</w:t>
      </w:r>
    </w:p>
    <w:p>
      <w:pPr>
        <w:spacing w:before="0" w:after="100"/>
      </w:pPr>
      <w:r>
        <w:rPr>
          <w:b w:val="0"/>
          <w:i w:val="0"/>
          <w:sz w:val="21"/>
        </w:rPr>
        <w:t>Le questionnaire corrigé est conservé et versé au dossier de preuve. Il établit que la formation a été SUIVIE, et pas seulement dispensée — nuance qui compte quand l’employeur doit démontrer l’effectivité de ses actions.</w:t>
      </w:r>
    </w:p>
    <w:p>
      <w:pPr>
        <w:spacing w:before="240" w:after="80"/>
      </w:pPr>
      <w:r>
        <w:rPr>
          <w:b/>
          <w:i w:val="0"/>
          <w:color w:val="1F3B57"/>
          <w:sz w:val="25"/>
        </w:rPr>
        <w:t>Ce que l’action produit — les pièces à conserver</w:t>
      </w:r>
    </w:p>
    <w:p>
      <w:pPr>
        <w:pStyle w:val="ListBullet"/>
        <w:spacing w:after="40"/>
      </w:pPr>
      <w:r>
        <w:rPr>
          <w:sz w:val="20"/>
        </w:rPr>
        <w:t>Programme daté et signé par l’intervenant</w:t>
      </w:r>
    </w:p>
    <w:p>
      <w:pPr>
        <w:pStyle w:val="ListBullet"/>
        <w:spacing w:after="40"/>
      </w:pPr>
      <w:r>
        <w:rPr>
          <w:sz w:val="20"/>
        </w:rPr>
        <w:t>Feuille d’émargement par demi-journée</w:t>
      </w:r>
    </w:p>
    <w:p>
      <w:pPr>
        <w:pStyle w:val="ListBullet"/>
        <w:spacing w:after="40"/>
      </w:pPr>
      <w:r>
        <w:rPr>
          <w:sz w:val="20"/>
        </w:rPr>
        <w:t>Support remis à chaque participant, daté</w:t>
      </w:r>
    </w:p>
    <w:p>
      <w:pPr>
        <w:pStyle w:val="ListBullet"/>
        <w:spacing w:after="40"/>
      </w:pPr>
      <w:r>
        <w:rPr>
          <w:sz w:val="20"/>
        </w:rPr>
        <w:t>Questionnaire d’évaluation corrigé, nominatif</w:t>
      </w:r>
    </w:p>
    <w:p>
      <w:pPr>
        <w:pStyle w:val="ListBullet"/>
        <w:spacing w:after="40"/>
      </w:pPr>
      <w:r>
        <w:rPr>
          <w:sz w:val="20"/>
        </w:rPr>
        <w:t>Attestation individuelle de formation</w:t>
      </w:r>
    </w:p>
    <w:p>
      <w:pPr>
        <w:pStyle w:val="ListBullet"/>
        <w:spacing w:after="40"/>
      </w:pPr>
      <w:r>
        <w:rPr>
          <w:sz w:val="20"/>
        </w:rPr>
        <w:t>Liste des encadrants convoqués et des absents, avec la date de leur rattrapage</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Action 8 — Former les référents</w:t>
      </w:r>
    </w:p>
    <w:p>
      <w:pPr>
        <w:spacing w:after="160"/>
        <w:pBdr>
          <w:bottom w:val="single" w:sz="8" w:color="C9A84C"/>
        </w:pBdr>
      </w:pPr>
    </w:p>
    <w:p>
      <w:pPr>
        <w:spacing w:before="0" w:after="160"/>
      </w:pPr>
      <w:r>
        <w:rPr>
          <w:b w:val="0"/>
          <w:i/>
          <w:color w:val="A0842E"/>
          <w:sz w:val="20"/>
        </w:rPr>
        <w:t>Articles L.2315-18 et L.4121-1 (2°) — programme de formation, quatorze heures</w:t>
      </w:r>
    </w:p>
    <w:p>
      <w:pPr>
        <w:spacing w:before="0" w:after="120"/>
      </w:pPr>
      <w:r>
        <w:rPr>
          <w:b/>
          <w:i w:val="0"/>
          <w:sz w:val="21"/>
        </w:rPr>
        <w:t>Public : le référent désigné par le comité social et économique (article L.2314-1), le référent désigné par l’employeur dans les entreprises d’au moins deux cent cinquante salariés (article L.1153-5-1), et les membres de la commission santé, sécurité et conditions de travail lorsqu’elle existe.</w:t>
      </w:r>
    </w:p>
    <w:p>
      <w:pPr>
        <w:spacing w:before="0" w:after="120"/>
      </w:pPr>
      <w:r>
        <w:rPr>
          <w:b/>
          <w:i w:val="0"/>
          <w:sz w:val="21"/>
        </w:rPr>
        <w:t>Durée : deux jours, quatorze heures.</w:t>
      </w:r>
    </w:p>
    <w:p>
      <w:pPr>
        <w:spacing w:before="160" w:after="200"/>
      </w:pPr>
      <w:r>
        <w:rPr>
          <w:b w:val="0"/>
          <w:i w:val="0"/>
          <w:sz w:val="21"/>
        </w:rPr>
        <w:t>Objectif. Le référent est le point d’entrée. Mal formé, il devient le premier vice de procédure : promesse de confidentialité intenable, enquête bâclée, notes non datées, victime déplacée. Ce programme reprend le socle de l’action 7, puis ajoute ce qui lui est propre.</w:t>
      </w:r>
    </w:p>
    <w:p>
      <w:pPr>
        <w:spacing w:before="200" w:after="40"/>
      </w:pPr>
      <w:r>
        <w:rPr>
          <w:b/>
          <w:sz w:val="22"/>
        </w:rPr>
        <w:t>Module 1 — Le cadre juridique</w:t>
      </w:r>
      <w:r>
        <w:rPr>
          <w:b/>
          <w:color w:val="A0842E"/>
          <w:sz w:val="19"/>
        </w:rPr>
        <w:t xml:space="preserve">   3 h</w:t>
      </w:r>
    </w:p>
    <w:p>
      <w:pPr>
        <w:spacing w:before="0" w:after="100"/>
      </w:pPr>
      <w:r>
        <w:rPr>
          <w:b w:val="0"/>
          <w:i w:val="0"/>
          <w:sz w:val="21"/>
        </w:rPr>
        <w:t>Reprise intégrale des modules 1 à 5 et 8 de l’action 7 : définition et ses trois pièges, l’intention qui ne compte pas, ce que les juges retiennent, ce qu’ils écartent, le harcèlement managérial et institutionnel, les conséquences chiffrées.</w:t>
      </w:r>
    </w:p>
    <w:p>
      <w:pPr>
        <w:spacing w:before="0" w:after="100"/>
      </w:pPr>
      <w:r>
        <w:rPr>
          <w:b w:val="0"/>
          <w:i w:val="0"/>
          <w:sz w:val="21"/>
        </w:rPr>
        <w:t>Ajout propre au référent : le périmètre de sa mission. Il oriente, informe et accompagne. Il n’arbitre pas, ne qualifie pas juridiquement, ne décide pas de la sanction. Confondre le référent et l’enquêteur est la première erreur, et elle se paie au contentieux.</w:t>
      </w:r>
    </w:p>
    <w:p>
      <w:pPr>
        <w:spacing w:before="200" w:after="40"/>
      </w:pPr>
      <w:r>
        <w:rPr>
          <w:b/>
          <w:sz w:val="22"/>
        </w:rPr>
        <w:t>Module 2 — Recevoir la parole</w:t>
      </w:r>
      <w:r>
        <w:rPr>
          <w:b/>
          <w:color w:val="A0842E"/>
          <w:sz w:val="19"/>
        </w:rPr>
        <w:t xml:space="preserve">   3 h</w:t>
      </w:r>
    </w:p>
    <w:p>
      <w:pPr>
        <w:spacing w:before="0" w:after="100"/>
      </w:pPr>
      <w:r>
        <w:rPr>
          <w:b w:val="0"/>
          <w:i w:val="0"/>
          <w:sz w:val="21"/>
        </w:rPr>
        <w:t>Conduire un entretien de recueil : accueil, cadre annoncé, questions ouvertes, reconstitution chronologique, recherche de faits datés et localisés, identification des témoins et des traces écrites, relecture du compte rendu avec la personne, signature.</w:t>
      </w:r>
    </w:p>
    <w:p>
      <w:pPr>
        <w:spacing w:before="0" w:after="100"/>
      </w:pPr>
      <w:r>
        <w:rPr>
          <w:b w:val="0"/>
          <w:i w:val="0"/>
          <w:sz w:val="21"/>
        </w:rPr>
        <w:t>Ce qu’on note et comment. Des faits, pas des interprétations. « Le 12 mars, en réunion, devant six personnes, il m’a dit : … » et non « il m’humilie constamment ». C’est la première mise en forme de ce qui deviendra, éventuellement, un faisceau d’éléments.</w:t>
      </w:r>
    </w:p>
    <w:p>
      <w:pPr>
        <w:spacing w:before="0" w:after="100"/>
      </w:pPr>
      <w:r>
        <w:rPr>
          <w:b w:val="0"/>
          <w:i w:val="0"/>
          <w:sz w:val="21"/>
        </w:rPr>
        <w:t>Ce qu’on promet et ce qu’on ne promet pas. On ne promet jamais l’anonymat : la procédure suppose que l’auteur présumé puisse répondre. On promet la discrétion, un périmètre nommé de personnes informées, et un délai.</w:t>
      </w:r>
    </w:p>
    <w:p>
      <w:pPr>
        <w:spacing w:before="0" w:after="100"/>
      </w:pPr>
      <w:r>
        <w:rPr>
          <w:b w:val="0"/>
          <w:i w:val="0"/>
          <w:sz w:val="21"/>
        </w:rPr>
        <w:t>Repérer l’urgence. Idées suicidaires, arrêt de travail imminent, isolement total, consommation d’alcool ou de médicaments : dans ces cas, saisine du service de prévention et de santé au travail le jour même, et information de la direction sans attendre la fin du recueil.</w:t>
      </w:r>
    </w:p>
    <w:p>
      <w:pPr>
        <w:spacing w:after="100"/>
      </w:pPr>
      <w:r>
        <w:rPr>
          <w:b/>
          <w:color w:val="A0842E"/>
          <w:sz w:val="20"/>
        </w:rPr>
        <w:t xml:space="preserve">Exercice. </w:t>
      </w:r>
      <w:r>
        <w:rPr>
          <w:sz w:val="20"/>
        </w:rPr>
        <w:t>Deux entretiens joués et filmés si les participants y consentent, avec restitution sur la qualité des questions et la précision des notes.</w:t>
      </w:r>
    </w:p>
    <w:p>
      <w:pPr>
        <w:spacing w:before="200" w:after="40"/>
      </w:pPr>
      <w:r>
        <w:rPr>
          <w:b/>
          <w:sz w:val="22"/>
        </w:rPr>
        <w:t>Module 3 — Le régime de la preuve</w:t>
      </w:r>
      <w:r>
        <w:rPr>
          <w:b/>
          <w:color w:val="A0842E"/>
          <w:sz w:val="19"/>
        </w:rPr>
        <w:t xml:space="preserve">   2 h</w:t>
      </w:r>
    </w:p>
    <w:p>
      <w:pPr>
        <w:spacing w:before="0" w:after="100"/>
      </w:pPr>
      <w:r>
        <w:rPr>
          <w:b w:val="0"/>
          <w:i w:val="0"/>
          <w:sz w:val="21"/>
        </w:rPr>
        <w:t>Le salarié n’a pas à prouver le harcèlement : il présente des éléments de fait laissant supposer son existence (article L.1154-1). La charge de la preuve ne pèse pas sur lui (Cass. soc., 7 juillet 2021, n° 19-20.320). C’est ensuite à l’employeur de démontrer que ses décisions reposent sur des éléments objectifs étrangers à tout harcèlement.</w:t>
      </w:r>
    </w:p>
    <w:p>
      <w:pPr>
        <w:spacing w:before="0" w:after="100"/>
      </w:pPr>
      <w:r>
        <w:rPr>
          <w:b w:val="0"/>
          <w:i w:val="0"/>
          <w:sz w:val="21"/>
        </w:rPr>
        <w:t>La preuve est libre, et la Cour de cassation admet les modes les plus larges. Un enregistrement obtenu à l’insu de son auteur, par nature déloyal, a été jugé recevable dès lors qu’il est indispensable à l’exercice du droit à la preuve et proportionné au but poursuivi (Cass. soc., 10 juillet 2024, n° 23-14.900, faisant application de Cass. ass. plén., 22 décembre 2023, n° 20-20.648). Si un tel procédé est admis, les courriers, courriels, avis de la médecine du travail et attestations de tiers le sont a fortiori.</w:t>
      </w:r>
    </w:p>
    <w:p>
      <w:pPr>
        <w:spacing w:before="0" w:after="100"/>
      </w:pPr>
      <w:r>
        <w:rPr>
          <w:b w:val="0"/>
          <w:i w:val="0"/>
          <w:sz w:val="21"/>
        </w:rPr>
        <w:t>Le juge apprécie les éléments DANS LEUR ENSEMBLE, y compris les certificats médicaux (Cass. soc., 18 décembre 2024, n° 23-21.649). L’analyse fait par fait est censurée (Cass. soc., 11 mars 2026, n° 24-21.502). Un cumul de décisions défavorables, anodines prises isolément, peut caractériser un harcèlement.</w:t>
      </w:r>
    </w:p>
    <w:p>
      <w:pPr>
        <w:spacing w:after="100"/>
      </w:pPr>
      <w:r>
        <w:rPr>
          <w:b/>
          <w:color w:val="B23B3B"/>
          <w:sz w:val="20"/>
        </w:rPr>
        <w:t xml:space="preserve">Le piège. </w:t>
      </w:r>
      <w:r>
        <w:rPr>
          <w:sz w:val="20"/>
        </w:rPr>
        <w:t>Le référent qui écarte un signalement au motif qu’« il n’y a pas de preuve » se trompe de régime — et engage l’employeur.</w:t>
      </w:r>
    </w:p>
    <w:p>
      <w:pPr>
        <w:spacing w:before="200" w:after="40"/>
      </w:pPr>
      <w:r>
        <w:rPr>
          <w:b/>
          <w:sz w:val="22"/>
        </w:rPr>
        <w:t>Module 4 — Conduire une enquête</w:t>
      </w:r>
      <w:r>
        <w:rPr>
          <w:b/>
          <w:color w:val="A0842E"/>
          <w:sz w:val="19"/>
        </w:rPr>
        <w:t xml:space="preserve">   4 h, cas pratique complet</w:t>
      </w:r>
    </w:p>
    <w:p>
      <w:pPr>
        <w:spacing w:before="0" w:after="100"/>
      </w:pPr>
      <w:r>
        <w:rPr>
          <w:b w:val="0"/>
          <w:i w:val="0"/>
          <w:sz w:val="21"/>
        </w:rPr>
        <w:t>Décider s’il faut enquêter. L’enquête n’est pas obligatoire en soi : l’employeur peut satisfaire à son obligation sans enquête s’il a pris d’autres mesures suffisantes (Cass. soc., 12 juin 2024, n° 23-13.975). Mais la décision de ne pas enquêter doit être écrite et motivée. Et l’enquête, à l’inverse, ne suffit pas davantage à exonérer : elle ne remplace pas la prévention.</w:t>
      </w:r>
    </w:p>
    <w:p>
      <w:pPr>
        <w:spacing w:before="0" w:after="100"/>
      </w:pPr>
      <w:r>
        <w:rPr>
          <w:b w:val="0"/>
          <w:i w:val="0"/>
          <w:sz w:val="21"/>
        </w:rPr>
        <w:t>Composer la commission. Jamais l’auteur présumé, jamais le supérieur direct de la victime. De préférence à parité, avec un élu du comité. Deux à trois personnes, pas davantage.</w:t>
      </w:r>
    </w:p>
    <w:p>
      <w:pPr>
        <w:spacing w:before="0" w:after="100"/>
      </w:pPr>
      <w:r>
        <w:rPr>
          <w:b w:val="0"/>
          <w:i w:val="0"/>
          <w:sz w:val="21"/>
        </w:rPr>
        <w:t>La lettre de mission : périmètre, délai, méthode, confidentialité, destinataire du rapport.</w:t>
      </w:r>
    </w:p>
    <w:p>
      <w:pPr>
        <w:spacing w:before="0" w:after="100"/>
      </w:pPr>
      <w:r>
        <w:rPr>
          <w:b w:val="0"/>
          <w:i w:val="0"/>
          <w:sz w:val="21"/>
        </w:rPr>
        <w:t>Les auditions : la victime d’abord, puis l’auteur présumé, puis les témoins désignés par chacun. Un compte rendu par audition, relu et signé. Les auditions se tiennent hors de la vue des équipes.</w:t>
      </w:r>
    </w:p>
    <w:p>
      <w:pPr>
        <w:spacing w:before="0" w:after="100"/>
      </w:pPr>
      <w:r>
        <w:rPr>
          <w:b w:val="0"/>
          <w:i w:val="0"/>
          <w:sz w:val="21"/>
        </w:rPr>
        <w:t>Le rapport distingue trois catégories, et trois seulement : les faits établis, les faits non établis, les faits contestés. Il ne qualifie pas juridiquement à la place de l’employeur — c’est à ce dernier de décider, et au juge de qualifier.</w:t>
      </w:r>
    </w:p>
    <w:p>
      <w:pPr>
        <w:spacing w:after="100"/>
      </w:pPr>
      <w:r>
        <w:rPr>
          <w:b/>
          <w:color w:val="A0842E"/>
          <w:sz w:val="20"/>
        </w:rPr>
        <w:t xml:space="preserve">Exercice. </w:t>
      </w:r>
      <w:r>
        <w:rPr>
          <w:sz w:val="20"/>
        </w:rPr>
        <w:t>Un dossier complet est distribué — signalement, organigramme, courriels, plannings. Les participants composent la commission, rédigent la lettre de mission, mènent deux auditions jouées et rédigent le rapport. Restitution et correction.</w:t>
      </w:r>
    </w:p>
    <w:p>
      <w:pPr>
        <w:spacing w:before="200" w:after="40"/>
      </w:pPr>
      <w:r>
        <w:rPr>
          <w:b/>
          <w:sz w:val="22"/>
        </w:rPr>
        <w:t>Module 5 — Après l’enquête</w:t>
      </w:r>
      <w:r>
        <w:rPr>
          <w:b/>
          <w:color w:val="A0842E"/>
          <w:sz w:val="19"/>
        </w:rPr>
        <w:t xml:space="preserve">   1 h</w:t>
      </w:r>
    </w:p>
    <w:p>
      <w:pPr>
        <w:spacing w:before="0" w:after="100"/>
      </w:pPr>
      <w:r>
        <w:rPr>
          <w:b w:val="0"/>
          <w:i w:val="0"/>
          <w:sz w:val="21"/>
        </w:rPr>
        <w:t>Décision motivée, écrite, notifiée aux deux parties. Si les faits sont établis : sanction proportionnée, jusqu’au licenciement pour faute grave ; si l’auteur est un salarié protégé, autorisation préalable de l’inspection du travail (article L.2411-1).</w:t>
      </w:r>
    </w:p>
    <w:p>
      <w:pPr>
        <w:spacing w:before="0" w:after="100"/>
      </w:pPr>
      <w:r>
        <w:rPr>
          <w:b w:val="0"/>
          <w:i w:val="0"/>
          <w:sz w:val="21"/>
        </w:rPr>
        <w:t>Si les faits ne sont pas établis : le dire, sans mettre en cause la bonne foi de l’auteur du signalement. La mauvaise foi ne peut résulter que de la connaissance par le salarié de la fausseté des faits qu’il dénonce.</w:t>
      </w:r>
    </w:p>
    <w:p>
      <w:pPr>
        <w:spacing w:before="0" w:after="100"/>
      </w:pPr>
      <w:r>
        <w:rPr>
          <w:b w:val="0"/>
          <w:i w:val="0"/>
          <w:sz w:val="21"/>
        </w:rPr>
        <w:t>Mesures d’accompagnement : suivi médical, aménagement de poste, médiation si les deux parties y consentent — jamais imposée.</w:t>
      </w:r>
    </w:p>
    <w:p>
      <w:pPr>
        <w:spacing w:before="0" w:after="100"/>
      </w:pPr>
      <w:r>
        <w:rPr>
          <w:b w:val="0"/>
          <w:i w:val="0"/>
          <w:sz w:val="21"/>
        </w:rPr>
        <w:t>Information du comité, sans nommer les personnes. Mise à jour du document unique si le signalement révèle un risque non identifié — c’est le retour vers l’action 1.</w:t>
      </w:r>
    </w:p>
    <w:p>
      <w:pPr>
        <w:spacing w:before="0" w:after="100"/>
      </w:pPr>
      <w:r>
        <w:rPr>
          <w:b w:val="0"/>
          <w:i w:val="0"/>
          <w:sz w:val="21"/>
        </w:rPr>
        <w:t>Suivi à trois mois, écrit : vérifier que rien n’a repris et qu’aucune mesure défavorable n’a suivi la dénonciation. C’est là que se joue la nullité d’un licenciement ultérieur.</w:t>
      </w:r>
    </w:p>
    <w:p>
      <w:pPr>
        <w:spacing w:before="200" w:after="40"/>
      </w:pPr>
      <w:r>
        <w:rPr>
          <w:b/>
          <w:sz w:val="22"/>
        </w:rPr>
        <w:t>Module 6 — Les erreurs qui coûtent le procès</w:t>
      </w:r>
      <w:r>
        <w:rPr>
          <w:b/>
          <w:color w:val="A0842E"/>
          <w:sz w:val="19"/>
        </w:rPr>
        <w:t xml:space="preserve">   1 h</w:t>
      </w:r>
    </w:p>
    <w:p>
      <w:pPr>
        <w:spacing w:before="0" w:after="100"/>
      </w:pPr>
      <w:r>
        <w:rPr>
          <w:b w:val="0"/>
          <w:i w:val="0"/>
          <w:sz w:val="21"/>
        </w:rPr>
        <w:t>Déplacer la victime plutôt que l’auteur présumé — régulièrement retenu comme un élément supplémentaire de harcèlement.</w:t>
      </w:r>
    </w:p>
    <w:p>
      <w:pPr>
        <w:spacing w:before="0" w:after="100"/>
      </w:pPr>
      <w:r>
        <w:rPr>
          <w:b w:val="0"/>
          <w:i w:val="0"/>
          <w:sz w:val="21"/>
        </w:rPr>
        <w:t>Laisser l’auteur présumé participer à l’enquête, ou en être informé avant les auditions.</w:t>
      </w:r>
    </w:p>
    <w:p>
      <w:pPr>
        <w:spacing w:before="0" w:after="100"/>
      </w:pPr>
      <w:r>
        <w:rPr>
          <w:b w:val="0"/>
          <w:i w:val="0"/>
          <w:sz w:val="21"/>
        </w:rPr>
        <w:t>Ne pas dater les notes, ou les rédiger après coup.</w:t>
      </w:r>
    </w:p>
    <w:p>
      <w:pPr>
        <w:spacing w:before="0" w:after="100"/>
      </w:pPr>
      <w:r>
        <w:rPr>
          <w:b w:val="0"/>
          <w:i w:val="0"/>
          <w:sz w:val="21"/>
        </w:rPr>
        <w:t>Promettre l’anonymat, puis devoir le rompre.</w:t>
      </w:r>
    </w:p>
    <w:p>
      <w:pPr>
        <w:spacing w:before="0" w:after="100"/>
      </w:pPr>
      <w:r>
        <w:rPr>
          <w:b w:val="0"/>
          <w:i w:val="0"/>
          <w:sz w:val="21"/>
        </w:rPr>
        <w:t>Classer sans écrire — le classement sans trace équivaut à l’inaction.</w:t>
      </w:r>
    </w:p>
    <w:p>
      <w:pPr>
        <w:spacing w:before="0" w:after="100"/>
      </w:pPr>
      <w:r>
        <w:rPr>
          <w:b w:val="0"/>
          <w:i w:val="0"/>
          <w:sz w:val="21"/>
        </w:rPr>
        <w:t>Ne rien faire parce que le mot « harcèlement » n’a pas été prononcé.</w:t>
      </w:r>
    </w:p>
    <w:p>
      <w:pPr>
        <w:spacing w:before="0" w:after="100"/>
      </w:pPr>
      <w:r>
        <w:rPr>
          <w:b w:val="0"/>
          <w:i w:val="0"/>
          <w:sz w:val="21"/>
        </w:rPr>
        <w:t>Sanctionner, muter ou licencier le salarié qui a dénoncé : la rupture est nulle si elle est fondée sur cette dénonciation, et l’indemnité échappe au barème.</w:t>
      </w:r>
    </w:p>
    <w:p>
      <w:pPr>
        <w:spacing w:before="240" w:after="80"/>
      </w:pPr>
      <w:r>
        <w:rPr>
          <w:b/>
          <w:i w:val="0"/>
          <w:color w:val="1F3B57"/>
          <w:sz w:val="25"/>
        </w:rPr>
        <w:t>Ce que l’action produit — les pièces à conserver</w:t>
      </w:r>
    </w:p>
    <w:p>
      <w:pPr>
        <w:pStyle w:val="ListBullet"/>
        <w:spacing w:after="40"/>
      </w:pPr>
      <w:r>
        <w:rPr>
          <w:sz w:val="20"/>
        </w:rPr>
        <w:t>Programme daté</w:t>
      </w:r>
    </w:p>
    <w:p>
      <w:pPr>
        <w:pStyle w:val="ListBullet"/>
        <w:spacing w:after="40"/>
      </w:pPr>
      <w:r>
        <w:rPr>
          <w:sz w:val="20"/>
        </w:rPr>
        <w:t>Feuille d’émargement</w:t>
      </w:r>
    </w:p>
    <w:p>
      <w:pPr>
        <w:pStyle w:val="ListBullet"/>
        <w:spacing w:after="40"/>
      </w:pPr>
      <w:r>
        <w:rPr>
          <w:sz w:val="20"/>
        </w:rPr>
        <w:t>Trame d’entretien de recueil</w:t>
      </w:r>
    </w:p>
    <w:p>
      <w:pPr>
        <w:pStyle w:val="ListBullet"/>
        <w:spacing w:after="40"/>
      </w:pPr>
      <w:r>
        <w:rPr>
          <w:sz w:val="20"/>
        </w:rPr>
        <w:t>Modèle de lettre de mission de la commission d’enquête</w:t>
      </w:r>
    </w:p>
    <w:p>
      <w:pPr>
        <w:pStyle w:val="ListBullet"/>
        <w:spacing w:after="40"/>
      </w:pPr>
      <w:r>
        <w:rPr>
          <w:sz w:val="20"/>
        </w:rPr>
        <w:t>Modèle de compte rendu d’audition</w:t>
      </w:r>
    </w:p>
    <w:p>
      <w:pPr>
        <w:pStyle w:val="ListBullet"/>
        <w:spacing w:after="40"/>
      </w:pPr>
      <w:r>
        <w:rPr>
          <w:sz w:val="20"/>
        </w:rPr>
        <w:t>Modèle de rapport d’enquête</w:t>
      </w:r>
    </w:p>
    <w:p>
      <w:pPr>
        <w:pStyle w:val="ListBullet"/>
        <w:spacing w:after="40"/>
      </w:pPr>
      <w:r>
        <w:rPr>
          <w:sz w:val="20"/>
        </w:rPr>
        <w:t>Attestation individuelle de formation</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Action 9 — Informer l’ensemble des salariés</w:t>
      </w:r>
    </w:p>
    <w:p>
      <w:pPr>
        <w:spacing w:after="160"/>
        <w:pBdr>
          <w:bottom w:val="single" w:sz="8" w:color="C9A84C"/>
        </w:pBdr>
      </w:pPr>
    </w:p>
    <w:p>
      <w:pPr>
        <w:spacing w:before="0" w:after="160"/>
      </w:pPr>
      <w:r>
        <w:rPr>
          <w:b w:val="0"/>
          <w:i/>
          <w:color w:val="A0842E"/>
          <w:sz w:val="20"/>
        </w:rPr>
        <w:t>Article L.4121-1 (2°) — programme d’information, une heure trente</w:t>
      </w:r>
    </w:p>
    <w:p>
      <w:pPr>
        <w:spacing w:before="0" w:after="120"/>
      </w:pPr>
      <w:r>
        <w:rPr>
          <w:b/>
          <w:i w:val="0"/>
          <w:sz w:val="21"/>
        </w:rPr>
        <w:t>Public : tout le personnel, y compris les contrats courts, les alternants et les intérimaires présents dans l’entreprise.</w:t>
      </w:r>
    </w:p>
    <w:p>
      <w:pPr>
        <w:spacing w:before="0" w:after="120"/>
      </w:pPr>
      <w:r>
        <w:rPr>
          <w:b/>
          <w:i w:val="0"/>
          <w:sz w:val="21"/>
        </w:rPr>
        <w:t>Durée : une heure trente en présentiel, ou un module écrit émargé. Rappel annuel.</w:t>
      </w:r>
    </w:p>
    <w:p>
      <w:pPr>
        <w:spacing w:before="160" w:after="200"/>
      </w:pPr>
      <w:r>
        <w:rPr>
          <w:b w:val="0"/>
          <w:i w:val="0"/>
          <w:sz w:val="21"/>
        </w:rPr>
        <w:t>Objectif. La loi parle d’actions d’information ET de formation. Former l’encadrement sans informer les salariés ne fait que la moitié du chemin. Et un salarié qui sait à qui parler parle plus tôt — c’est-à-dire avant que la situation ne devienne un contentieux.</w:t>
      </w:r>
    </w:p>
    <w:p>
      <w:pPr>
        <w:spacing w:before="200" w:after="40"/>
      </w:pPr>
      <w:r>
        <w:rPr>
          <w:b/>
          <w:sz w:val="22"/>
        </w:rPr>
        <w:t>Module 1 — Ce qu’est le harcèlement, en clair</w:t>
      </w:r>
      <w:r>
        <w:rPr>
          <w:b/>
          <w:color w:val="A0842E"/>
          <w:sz w:val="19"/>
        </w:rPr>
        <w:t xml:space="preserve">   30 min</w:t>
      </w:r>
    </w:p>
    <w:p>
      <w:pPr>
        <w:spacing w:before="0" w:after="100"/>
      </w:pPr>
      <w:r>
        <w:rPr>
          <w:b w:val="0"/>
          <w:i w:val="0"/>
          <w:sz w:val="21"/>
        </w:rPr>
        <w:t>La définition en mots simples, illustrée par cinq cas tirés de la jurisprudence : le poste vidé de son contenu, la mise à l’écart organisée par les collègues, l’absence de travail fourni, le retour de congé maternité, les pressions pour signer une rupture conventionnelle.</w:t>
      </w:r>
    </w:p>
    <w:p>
      <w:pPr>
        <w:spacing w:before="0" w:after="100"/>
      </w:pPr>
      <w:r>
        <w:rPr>
          <w:b w:val="0"/>
          <w:i w:val="0"/>
          <w:sz w:val="21"/>
        </w:rPr>
        <w:t>Et la limite, dite aussi clairement : un manager exigeant n’est pas un harceleur ; une sanction justifiée n’est pas du harcèlement ; un conflit aux torts partagés non plus. Dire la limite protège la crédibilité du dispositif.</w:t>
      </w:r>
    </w:p>
    <w:p>
      <w:pPr>
        <w:spacing w:before="0" w:after="100"/>
      </w:pPr>
      <w:r>
        <w:rPr>
          <w:b w:val="0"/>
          <w:i w:val="0"/>
          <w:sz w:val="21"/>
        </w:rPr>
        <w:t>Le harcèlement sexuel et les agissements sexistes sont traités dans le même module : définition, exemples, et le fait qu’un fait unique suffit en matière de harcèlement sexuel dès lors qu’il est grave.</w:t>
      </w:r>
    </w:p>
    <w:p>
      <w:pPr>
        <w:spacing w:before="200" w:after="40"/>
      </w:pPr>
      <w:r>
        <w:rPr>
          <w:b/>
          <w:sz w:val="22"/>
        </w:rPr>
        <w:t>Module 2 — Ce que vous devez savoir de vos droits</w:t>
      </w:r>
      <w:r>
        <w:rPr>
          <w:b/>
          <w:color w:val="A0842E"/>
          <w:sz w:val="19"/>
        </w:rPr>
        <w:t xml:space="preserve">   20 min</w:t>
      </w:r>
    </w:p>
    <w:p>
      <w:pPr>
        <w:spacing w:before="0" w:after="100"/>
      </w:pPr>
      <w:r>
        <w:rPr>
          <w:b w:val="0"/>
          <w:i w:val="0"/>
          <w:sz w:val="21"/>
        </w:rPr>
        <w:t>Vous n’avez pas à prouver le harcèlement : vous devez présenter des éléments de fait laissant supposer son existence. C’est ensuite à l’employeur de démontrer que ses décisions reposent sur des éléments objectifs.</w:t>
      </w:r>
    </w:p>
    <w:p>
      <w:pPr>
        <w:spacing w:before="0" w:after="100"/>
      </w:pPr>
      <w:r>
        <w:rPr>
          <w:b w:val="0"/>
          <w:i w:val="0"/>
          <w:sz w:val="21"/>
        </w:rPr>
        <w:t>Vous n’avez pas à employer le mot « harcèlement ». Décrire les faits suffit à déclencher l’obligation d’agir.</w:t>
      </w:r>
    </w:p>
    <w:p>
      <w:pPr>
        <w:spacing w:before="0" w:after="100"/>
      </w:pPr>
      <w:r>
        <w:rPr>
          <w:b w:val="0"/>
          <w:i w:val="0"/>
          <w:sz w:val="21"/>
        </w:rPr>
        <w:t>Vous êtes protégé si vous dénoncez de bonne foi. Aucune sanction, aucun licenciement, aucune mesure discriminatoire ne peut être prise pour avoir subi, refusé de subir, relaté ou témoigné de faits de harcèlement. Toute rupture prononcée en méconnaissance de cette règle est nulle.</w:t>
      </w:r>
    </w:p>
    <w:p>
      <w:pPr>
        <w:spacing w:before="0" w:after="100"/>
      </w:pPr>
      <w:r>
        <w:rPr>
          <w:b w:val="0"/>
          <w:i w:val="0"/>
          <w:sz w:val="21"/>
        </w:rPr>
        <w:t>Le témoin est protégé au même titre que la victime.</w:t>
      </w:r>
    </w:p>
    <w:p>
      <w:pPr>
        <w:spacing w:before="0" w:after="100"/>
      </w:pPr>
      <w:r>
        <w:rPr>
          <w:b w:val="0"/>
          <w:i w:val="0"/>
          <w:sz w:val="21"/>
        </w:rPr>
        <w:t>Conseil pratique donné en séance : écrivez ce qui se passe, au fur et à mesure, avec les dates et les personnes présentes. Conservez les courriels. La vraie question n’est pas « avez-vous un témoin ? » mais « avez-vous documenté ? ».</w:t>
      </w:r>
    </w:p>
    <w:p>
      <w:pPr>
        <w:spacing w:before="200" w:after="40"/>
      </w:pPr>
      <w:r>
        <w:rPr>
          <w:b/>
          <w:sz w:val="22"/>
        </w:rPr>
        <w:t>Module 3 — À qui parler</w:t>
      </w:r>
      <w:r>
        <w:rPr>
          <w:b/>
          <w:color w:val="A0842E"/>
          <w:sz w:val="19"/>
        </w:rPr>
        <w:t xml:space="preserve">   20 min</w:t>
      </w:r>
    </w:p>
    <w:p>
      <w:pPr>
        <w:spacing w:before="0" w:after="100"/>
      </w:pPr>
      <w:r>
        <w:rPr>
          <w:b w:val="0"/>
          <w:i w:val="0"/>
          <w:sz w:val="21"/>
        </w:rPr>
        <w:t>Les noms et les visages : le référent de l’entreprise, le référent du comité, les élus, le service de prévention et de santé au travail, l’inspection du travail avec le nom de l’agent, le Défenseur des droits.</w:t>
      </w:r>
    </w:p>
    <w:p>
      <w:pPr>
        <w:spacing w:before="0" w:after="100"/>
      </w:pPr>
      <w:r>
        <w:rPr>
          <w:b w:val="0"/>
          <w:i w:val="0"/>
          <w:sz w:val="21"/>
        </w:rPr>
        <w:t>Plusieurs portes d’entrée, jamais une seule. Vous pouvez contourner votre hiérarchie directe — c’est prévu, et c’est souvent nécessaire.</w:t>
      </w:r>
    </w:p>
    <w:p>
      <w:pPr>
        <w:spacing w:before="0" w:after="100"/>
      </w:pPr>
      <w:r>
        <w:rPr>
          <w:b w:val="0"/>
          <w:i w:val="0"/>
          <w:sz w:val="21"/>
        </w:rPr>
        <w:t>Une carte au format portefeuille, avec ces coordonnées, est remise à chaque participant et jointe au livret d’accueil.</w:t>
      </w:r>
    </w:p>
    <w:p>
      <w:pPr>
        <w:spacing w:before="200" w:after="40"/>
      </w:pPr>
      <w:r>
        <w:rPr>
          <w:b/>
          <w:sz w:val="22"/>
        </w:rPr>
        <w:t>Module 4 — Ce qui se passe ensuite</w:t>
      </w:r>
      <w:r>
        <w:rPr>
          <w:b/>
          <w:color w:val="A0842E"/>
          <w:sz w:val="19"/>
        </w:rPr>
        <w:t xml:space="preserve">   10 min</w:t>
      </w:r>
    </w:p>
    <w:p>
      <w:pPr>
        <w:spacing w:before="0" w:after="100"/>
      </w:pPr>
      <w:r>
        <w:rPr>
          <w:b w:val="0"/>
          <w:i w:val="0"/>
          <w:sz w:val="21"/>
        </w:rPr>
        <w:t>Le déroulé : accusé de réception sous quarante-huit heures, entretien de recueil, mesures conservatoires sous huit jours, enquête le cas échéant, décision motivée, suivi à trois mois.</w:t>
      </w:r>
    </w:p>
    <w:p>
      <w:pPr>
        <w:spacing w:before="0" w:after="100"/>
      </w:pPr>
      <w:r>
        <w:rPr>
          <w:b w:val="0"/>
          <w:i w:val="0"/>
          <w:sz w:val="21"/>
        </w:rPr>
        <w:t>Ce qui est confidentiel et ce qui ne peut pas l’être. Dire la vérité sur ce point évite les signalements retirés en cours de procédure.</w:t>
      </w:r>
    </w:p>
    <w:p>
      <w:pPr>
        <w:spacing w:before="200" w:after="40"/>
      </w:pPr>
      <w:r>
        <w:rPr>
          <w:b/>
          <w:sz w:val="22"/>
        </w:rPr>
        <w:t>Module 5 — Et si vous êtes témoin</w:t>
      </w:r>
      <w:r>
        <w:rPr>
          <w:b/>
          <w:color w:val="A0842E"/>
          <w:sz w:val="19"/>
        </w:rPr>
        <w:t xml:space="preserve">   10 min</w:t>
      </w:r>
    </w:p>
    <w:p>
      <w:pPr>
        <w:spacing w:before="0" w:after="100"/>
      </w:pPr>
      <w:r>
        <w:rPr>
          <w:b w:val="0"/>
          <w:i w:val="0"/>
          <w:sz w:val="21"/>
        </w:rPr>
        <w:t>Ce que vous pouvez faire : écrire ce que vous avez vu ou entendu, daté et signé, et le remettre au référent. Une attestation de témoin se rédige selon des règles simples, rappelées et distribuées.</w:t>
      </w:r>
    </w:p>
    <w:p>
      <w:pPr>
        <w:spacing w:before="0" w:after="100"/>
      </w:pPr>
      <w:r>
        <w:rPr>
          <w:b w:val="0"/>
          <w:i w:val="0"/>
          <w:sz w:val="21"/>
        </w:rPr>
        <w:t>Ce qu’il ne faut pas faire : enquêter soi-même, en parler à l’équipe, ou prendre parti publiquement.</w:t>
      </w:r>
    </w:p>
    <w:p>
      <w:pPr>
        <w:spacing w:before="240" w:after="80"/>
      </w:pPr>
      <w:r>
        <w:rPr>
          <w:b/>
          <w:i w:val="0"/>
          <w:color w:val="1F3B57"/>
          <w:sz w:val="25"/>
        </w:rPr>
        <w:t>Ce que l’action produit — les pièces à conserver</w:t>
      </w:r>
    </w:p>
    <w:p>
      <w:pPr>
        <w:pStyle w:val="ListBullet"/>
        <w:spacing w:after="40"/>
      </w:pPr>
      <w:r>
        <w:rPr>
          <w:sz w:val="20"/>
        </w:rPr>
        <w:t>Support diffusé, daté</w:t>
      </w:r>
    </w:p>
    <w:p>
      <w:pPr>
        <w:pStyle w:val="ListBullet"/>
        <w:spacing w:after="40"/>
      </w:pPr>
      <w:r>
        <w:rPr>
          <w:sz w:val="20"/>
        </w:rPr>
        <w:t>Liste des destinataires</w:t>
      </w:r>
    </w:p>
    <w:p>
      <w:pPr>
        <w:pStyle w:val="ListBullet"/>
        <w:spacing w:after="40"/>
      </w:pPr>
      <w:r>
        <w:rPr>
          <w:sz w:val="20"/>
        </w:rPr>
        <w:t>Émargement ou accusé de lecture horodaté</w:t>
      </w:r>
    </w:p>
    <w:p>
      <w:pPr>
        <w:pStyle w:val="ListBullet"/>
        <w:spacing w:after="40"/>
      </w:pPr>
      <w:r>
        <w:rPr>
          <w:sz w:val="20"/>
        </w:rPr>
        <w:t>Carte de contacts remise</w:t>
      </w:r>
    </w:p>
    <w:p>
      <w:pPr>
        <w:pStyle w:val="ListBullet"/>
        <w:spacing w:after="40"/>
      </w:pPr>
      <w:r>
        <w:rPr>
          <w:sz w:val="20"/>
        </w:rPr>
        <w:t>Modèle d’attestation de témoin distribué</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Action 10 — Informer à l’embauche</w:t>
      </w:r>
    </w:p>
    <w:p>
      <w:pPr>
        <w:spacing w:after="160"/>
        <w:pBdr>
          <w:bottom w:val="single" w:sz="8" w:color="C9A84C"/>
        </w:pBdr>
      </w:pPr>
    </w:p>
    <w:p>
      <w:pPr>
        <w:spacing w:before="0" w:after="160"/>
      </w:pPr>
      <w:r>
        <w:rPr>
          <w:b w:val="0"/>
          <w:i/>
          <w:color w:val="A0842E"/>
          <w:sz w:val="20"/>
        </w:rPr>
        <w:t>Article L.4121-1 (2°)</w:t>
      </w:r>
    </w:p>
    <w:p>
      <w:pPr>
        <w:spacing w:before="0" w:after="100"/>
      </w:pPr>
      <w:r>
        <w:rPr>
          <w:b w:val="0"/>
          <w:i w:val="0"/>
          <w:sz w:val="21"/>
        </w:rPr>
        <w:t>Une notice de deux pages remise le jour de l’arrivée : définition, exemples, contacts nommés, procédure, protection du salarié qui dénonce. Datée, remise en main propre, émargée.</w:t>
      </w:r>
    </w:p>
    <w:p>
      <w:pPr>
        <w:spacing w:before="0" w:after="100"/>
      </w:pPr>
      <w:r>
        <w:rPr>
          <w:b w:val="0"/>
          <w:i w:val="0"/>
          <w:sz w:val="21"/>
        </w:rPr>
        <w:t>Cinq minutes à l’oral pendant l’accueil : à qui parler, et le fait que l’entreprise attend qu’on parle tôt.</w:t>
      </w:r>
    </w:p>
    <w:p>
      <w:pPr>
        <w:spacing w:before="0" w:after="100"/>
      </w:pPr>
      <w:r>
        <w:rPr>
          <w:b w:val="0"/>
          <w:i w:val="0"/>
          <w:sz w:val="21"/>
        </w:rPr>
        <w:t>Contrôle mensuel : croiser la liste des entrants avec les émargements. Un entrant sans émargement est un trou dans le dossier de preuve.</w:t>
      </w:r>
    </w:p>
    <w:p>
      <w:pPr>
        <w:spacing w:before="240" w:after="80"/>
      </w:pPr>
      <w:r>
        <w:rPr>
          <w:b/>
          <w:i w:val="0"/>
          <w:color w:val="1F3B57"/>
          <w:sz w:val="25"/>
        </w:rPr>
        <w:t>Ce que l’action produit — les pièces à conserver</w:t>
      </w:r>
    </w:p>
    <w:p>
      <w:pPr>
        <w:pStyle w:val="ListBullet"/>
        <w:spacing w:after="40"/>
      </w:pPr>
      <w:r>
        <w:rPr>
          <w:sz w:val="20"/>
        </w:rPr>
        <w:t>Notice d’information</w:t>
      </w:r>
    </w:p>
    <w:p>
      <w:pPr>
        <w:pStyle w:val="ListBullet"/>
        <w:spacing w:after="40"/>
      </w:pPr>
      <w:r>
        <w:rPr>
          <w:sz w:val="20"/>
        </w:rPr>
        <w:t>Émargement signé et daté</w:t>
      </w:r>
    </w:p>
    <w:p>
      <w:pPr>
        <w:pStyle w:val="ListBullet"/>
        <w:spacing w:after="40"/>
      </w:pPr>
      <w:r>
        <w:rPr>
          <w:sz w:val="20"/>
        </w:rPr>
        <w:t>Contrôle mensuel entrants / émargements</w:t>
      </w:r>
    </w:p>
    <w:p>
      <w:r>
        <w:br w:type="page"/>
      </w:r>
    </w:p>
    <w:p>
      <w:pPr>
        <w:spacing w:before="0" w:after="80"/>
      </w:pPr>
      <w:r>
        <w:rPr>
          <w:b/>
          <w:i w:val="0"/>
          <w:color w:val="1F3B57"/>
          <w:sz w:val="32"/>
        </w:rPr>
        <w:t>Action 11 — Tenir le registre des signalements</w:t>
      </w:r>
    </w:p>
    <w:p>
      <w:pPr>
        <w:spacing w:after="160"/>
        <w:pBdr>
          <w:bottom w:val="single" w:sz="8" w:color="C9A84C"/>
        </w:pBdr>
      </w:pPr>
    </w:p>
    <w:p>
      <w:pPr>
        <w:spacing w:before="0" w:after="160"/>
      </w:pPr>
      <w:r>
        <w:rPr>
          <w:b w:val="0"/>
          <w:i/>
          <w:color w:val="A0842E"/>
          <w:sz w:val="20"/>
        </w:rPr>
        <w:t>Article L.4121-1 — RGPD pour les données</w:t>
      </w:r>
    </w:p>
    <w:p>
      <w:pPr>
        <w:spacing w:before="0" w:after="100"/>
      </w:pPr>
      <w:r>
        <w:rPr>
          <w:b w:val="0"/>
          <w:i w:val="0"/>
          <w:sz w:val="21"/>
        </w:rPr>
        <w:t>Ce qu’il porte : date du signalement, par qui il est reçu, forme, faits rapportés en une phrase sans qualification, mesures conservatoires et leur date, enquête ou non et pourquoi, décision et sa date, information des parties, suivi à trois mois.</w:t>
      </w:r>
    </w:p>
    <w:p>
      <w:pPr>
        <w:spacing w:before="0" w:after="100"/>
      </w:pPr>
      <w:r>
        <w:rPr>
          <w:b w:val="0"/>
          <w:i w:val="0"/>
          <w:sz w:val="21"/>
        </w:rPr>
        <w:t>Ce qu’il ne porte pas : aucune appréciation sur la personnalité, aucune donnée de santé, aucun jugement. C’est un journal de bord, pas un dossier médical.</w:t>
      </w:r>
    </w:p>
    <w:p>
      <w:pPr>
        <w:spacing w:before="0" w:after="100"/>
      </w:pPr>
      <w:r>
        <w:rPr>
          <w:b w:val="0"/>
          <w:i w:val="0"/>
          <w:sz w:val="21"/>
        </w:rPr>
        <w:t>Accès nominatif restreint et tracé. Durée de conservation définie, information des personnes concernées, base légale : l’obligation légale de l’employeur.</w:t>
      </w:r>
    </w:p>
    <w:p>
      <w:pPr>
        <w:spacing w:before="0" w:after="100"/>
      </w:pPr>
      <w:r>
        <w:rPr>
          <w:b w:val="0"/>
          <w:i w:val="0"/>
          <w:sz w:val="21"/>
        </w:rPr>
        <w:t>Bilan annuel : combien de signalements, sur quels sites, quels délais de réaction, quelles suites. Ce bilan alimente le document unique (action 1) et la consultation du comité.</w:t>
      </w:r>
    </w:p>
    <w:p>
      <w:pPr>
        <w:spacing w:before="240" w:after="80"/>
      </w:pPr>
      <w:r>
        <w:rPr>
          <w:b/>
          <w:i w:val="0"/>
          <w:color w:val="1F3B57"/>
          <w:sz w:val="25"/>
        </w:rPr>
        <w:t>Ce que l’action produit — les pièces à conserver</w:t>
      </w:r>
    </w:p>
    <w:p>
      <w:pPr>
        <w:pStyle w:val="ListBullet"/>
        <w:spacing w:after="40"/>
      </w:pPr>
      <w:r>
        <w:rPr>
          <w:sz w:val="20"/>
        </w:rPr>
        <w:t>Registre tenu</w:t>
      </w:r>
    </w:p>
    <w:p>
      <w:pPr>
        <w:pStyle w:val="ListBullet"/>
        <w:spacing w:after="40"/>
      </w:pPr>
      <w:r>
        <w:rPr>
          <w:sz w:val="20"/>
        </w:rPr>
        <w:t>Bilan annuel</w:t>
      </w:r>
    </w:p>
    <w:p>
      <w:pPr>
        <w:pStyle w:val="ListBullet"/>
        <w:spacing w:after="40"/>
      </w:pPr>
      <w:r>
        <w:rPr>
          <w:sz w:val="20"/>
        </w:rPr>
        <w:t>Politique de conservation et d’accès</w:t>
      </w:r>
    </w:p>
    <w:p>
      <w:r>
        <w:br w:type="page"/>
      </w:r>
    </w:p>
    <w:p>
      <w:pPr>
        <w:spacing w:before="0" w:after="80"/>
      </w:pPr>
      <w:r>
        <w:rPr>
          <w:b/>
          <w:i w:val="0"/>
          <w:color w:val="1F3B57"/>
          <w:sz w:val="32"/>
        </w:rPr>
        <w:t>Action 12 — Réagir : le protocole, dans l’ordre</w:t>
      </w:r>
    </w:p>
    <w:p>
      <w:pPr>
        <w:spacing w:after="160"/>
        <w:pBdr>
          <w:bottom w:val="single" w:sz="8" w:color="C9A84C"/>
        </w:pBdr>
      </w:pPr>
    </w:p>
    <w:p>
      <w:pPr>
        <w:spacing w:before="0" w:after="160"/>
      </w:pPr>
      <w:r>
        <w:rPr>
          <w:b w:val="0"/>
          <w:i/>
          <w:color w:val="A0842E"/>
          <w:sz w:val="20"/>
        </w:rPr>
        <w:t>Articles L.1152-2 à L.1152-4</w:t>
      </w:r>
    </w:p>
    <w:p>
      <w:pPr>
        <w:spacing w:before="0" w:after="100"/>
      </w:pPr>
      <w:r>
        <w:rPr>
          <w:b w:val="0"/>
          <w:i w:val="0"/>
          <w:sz w:val="21"/>
        </w:rPr>
        <w:t>Jour J : accusé de réception écrit, entretien de recueil sous quarante-huit heures, faits écrits et datés sans qualification, évaluation de l’urgence — si la santé est en jeu, saisine du service de santé au travail le jour même.</w:t>
      </w:r>
    </w:p>
    <w:p>
      <w:pPr>
        <w:spacing w:before="0" w:after="100"/>
      </w:pPr>
      <w:r>
        <w:rPr>
          <w:b w:val="0"/>
          <w:i w:val="0"/>
          <w:sz w:val="21"/>
        </w:rPr>
        <w:t>J+2 à J+8 : mesures conservatoires. Séparer sans sanctionner, ne jamais déplacer la victime contre son gré.</w:t>
      </w:r>
    </w:p>
    <w:p>
      <w:pPr>
        <w:spacing w:before="0" w:after="100"/>
      </w:pPr>
      <w:r>
        <w:rPr>
          <w:b w:val="0"/>
          <w:i w:val="0"/>
          <w:sz w:val="21"/>
        </w:rPr>
        <w:t>J+8 : décider de la suite — enquête, ou mesures suffisantes sans enquête, et dans ce second cas écrire pourquoi.</w:t>
      </w:r>
    </w:p>
    <w:p>
      <w:pPr>
        <w:spacing w:before="0" w:after="100"/>
      </w:pPr>
      <w:r>
        <w:rPr>
          <w:b w:val="0"/>
          <w:i w:val="0"/>
          <w:sz w:val="21"/>
        </w:rPr>
        <w:t>J+30 à J+45 : l’enquête, si elle est menée. Délai annoncé et tenu.</w:t>
      </w:r>
    </w:p>
    <w:p>
      <w:pPr>
        <w:spacing w:before="0" w:after="100"/>
      </w:pPr>
      <w:r>
        <w:rPr>
          <w:b w:val="0"/>
          <w:i w:val="0"/>
          <w:sz w:val="21"/>
        </w:rPr>
        <w:t>À l’issue : décision motivée, écrite, notifiée aux deux parties.</w:t>
      </w:r>
    </w:p>
    <w:p>
      <w:pPr>
        <w:spacing w:before="0" w:after="100"/>
      </w:pPr>
      <w:r>
        <w:rPr>
          <w:b w:val="0"/>
          <w:i w:val="0"/>
          <w:sz w:val="21"/>
        </w:rPr>
        <w:t>J+90 : suivi écrit. Vérifier que rien n’a repris et qu’aucune mesure défavorable n’a suivi la dénonciation — c’est là que se joue la nullité d’un licenciement ultérieur.</w:t>
      </w:r>
    </w:p>
    <w:p>
      <w:pPr>
        <w:spacing w:before="0" w:after="100"/>
      </w:pPr>
      <w:r>
        <w:rPr>
          <w:b w:val="0"/>
          <w:i w:val="0"/>
          <w:sz w:val="21"/>
        </w:rPr>
        <w:t>Cette action est la seule des douze qui ne se prépare pas : elle s’exécute. Les onze autres existent pour qu’elle soit tenable dans les délais.</w:t>
      </w:r>
    </w:p>
    <w:p>
      <w:pPr>
        <w:spacing w:before="240" w:after="80"/>
      </w:pPr>
      <w:r>
        <w:rPr>
          <w:b/>
          <w:i w:val="0"/>
          <w:color w:val="1F3B57"/>
          <w:sz w:val="25"/>
        </w:rPr>
        <w:t>Ce que l’action produit — les pièces à conserver</w:t>
      </w:r>
    </w:p>
    <w:p>
      <w:pPr>
        <w:pStyle w:val="ListBullet"/>
        <w:spacing w:after="40"/>
      </w:pPr>
      <w:r>
        <w:rPr>
          <w:sz w:val="20"/>
        </w:rPr>
        <w:t>Accusé de réception</w:t>
      </w:r>
    </w:p>
    <w:p>
      <w:pPr>
        <w:pStyle w:val="ListBullet"/>
        <w:spacing w:after="40"/>
      </w:pPr>
      <w:r>
        <w:rPr>
          <w:sz w:val="20"/>
        </w:rPr>
        <w:t>Comptes rendus d’audition signés</w:t>
      </w:r>
    </w:p>
    <w:p>
      <w:pPr>
        <w:pStyle w:val="ListBullet"/>
        <w:spacing w:after="40"/>
      </w:pPr>
      <w:r>
        <w:rPr>
          <w:sz w:val="20"/>
        </w:rPr>
        <w:t>Rapport d’enquête</w:t>
      </w:r>
    </w:p>
    <w:p>
      <w:pPr>
        <w:pStyle w:val="ListBullet"/>
        <w:spacing w:after="40"/>
      </w:pPr>
      <w:r>
        <w:rPr>
          <w:sz w:val="20"/>
        </w:rPr>
        <w:t>Décision motivée notifiée</w:t>
      </w:r>
    </w:p>
    <w:p>
      <w:pPr>
        <w:pStyle w:val="ListBullet"/>
        <w:spacing w:after="40"/>
      </w:pPr>
      <w:r>
        <w:rPr>
          <w:sz w:val="20"/>
        </w:rPr>
        <w:t>Compte rendu de suivi à trois mois</w:t>
      </w:r>
    </w:p>
    <w:p>
      <w:r>
        <w:br w:type="page"/>
      </w:r>
    </w:p>
    <w:p>
      <w:pPr>
        <w:spacing w:before="0" w:after="80"/>
      </w:pPr>
      <w:r>
        <w:rPr>
          <w:b/>
          <w:i w:val="0"/>
          <w:color w:val="1F3B57"/>
          <w:sz w:val="32"/>
        </w:rPr>
        <w:t>Calendrier type sur douze mois</w:t>
      </w:r>
    </w:p>
    <w:p>
      <w:pPr>
        <w:spacing w:after="160"/>
        <w:pBdr>
          <w:bottom w:val="single" w:sz="8" w:color="C9A84C"/>
        </w:pBdr>
      </w:pPr>
    </w:p>
    <w:p>
      <w:pPr>
        <w:spacing w:before="0" w:after="160"/>
      </w:pPr>
      <w:r>
        <w:rPr>
          <w:b w:val="0"/>
          <w:i/>
          <w:color w:val="555555"/>
          <w:sz w:val="20"/>
        </w:rPr>
        <w:t>Le numéro entre parenthèses renvoie à l’action.</w:t>
      </w:r>
    </w:p>
    <w:tbl>
      <w:tblPr>
        <w:tblStyle w:val="TableGrid"/>
        <w:tblW w:type="auto" w:w="0"/>
        <w:tblLook w:firstColumn="1" w:firstRow="1" w:lastColumn="0" w:lastRow="0" w:noHBand="0" w:noVBand="1" w:val="04A0"/>
      </w:tblPr>
      <w:tblGrid>
        <w:gridCol w:w="1474"/>
        <w:gridCol w:w="7654"/>
      </w:tblGrid>
      <w:tr>
        <w:tc>
          <w:tcPr>
            <w:tcW w:type="dxa" w:w="4873"/>
          </w:tcPr>
          <w:p>
            <w:r/>
            <w:r>
              <w:rPr>
                <w:b/>
                <w:sz w:val="19"/>
              </w:rPr>
              <w:t>Échéance</w:t>
            </w:r>
          </w:p>
        </w:tc>
        <w:tc>
          <w:tcPr>
            <w:tcW w:type="dxa" w:w="4873"/>
          </w:tcPr>
          <w:p>
            <w:r/>
            <w:r>
              <w:rPr>
                <w:b/>
                <w:sz w:val="19"/>
              </w:rPr>
              <w:t>Action</w:t>
            </w:r>
          </w:p>
        </w:tc>
      </w:tr>
      <w:tr>
        <w:tc>
          <w:tcPr>
            <w:tcW w:type="dxa" w:w="4873"/>
          </w:tcPr>
          <w:p>
            <w:r>
              <w:rPr>
                <w:b/>
                <w:sz w:val="19"/>
              </w:rPr>
              <w:t>Mois 1</w:t>
            </w:r>
          </w:p>
        </w:tc>
        <w:tc>
          <w:tcPr>
            <w:tcW w:type="dxa" w:w="4873"/>
          </w:tcPr>
          <w:p>
            <w:r>
              <w:rPr>
                <w:sz w:val="19"/>
              </w:rPr>
              <w:t>Diagnostic des douze actions. Désignation des référents si elle manque (4, 5). Ouverture du registre (11).</w:t>
            </w:r>
          </w:p>
        </w:tc>
      </w:tr>
      <w:tr>
        <w:tc>
          <w:tcPr>
            <w:tcW w:type="dxa" w:w="4873"/>
          </w:tcPr>
          <w:p>
            <w:r>
              <w:rPr>
                <w:b/>
                <w:sz w:val="19"/>
              </w:rPr>
              <w:t>Mois 2</w:t>
            </w:r>
          </w:p>
        </w:tc>
        <w:tc>
          <w:tcPr>
            <w:tcW w:type="dxa" w:w="4873"/>
          </w:tcPr>
          <w:p>
            <w:r>
              <w:rPr>
                <w:sz w:val="19"/>
              </w:rPr>
              <w:t>Écriture de la procédure de signalement (6). Mise à jour du règlement intérieur, consultation du comité (3).</w:t>
            </w:r>
          </w:p>
        </w:tc>
      </w:tr>
      <w:tr>
        <w:tc>
          <w:tcPr>
            <w:tcW w:type="dxa" w:w="4873"/>
          </w:tcPr>
          <w:p>
            <w:r>
              <w:rPr>
                <w:b/>
                <w:sz w:val="19"/>
              </w:rPr>
              <w:t>Mois 3</w:t>
            </w:r>
          </w:p>
        </w:tc>
        <w:tc>
          <w:tcPr>
            <w:tcW w:type="dxa" w:w="4873"/>
          </w:tcPr>
          <w:p>
            <w:r>
              <w:rPr>
                <w:sz w:val="19"/>
              </w:rPr>
              <w:t>Formation des référents — deux jours (8).</w:t>
            </w:r>
          </w:p>
        </w:tc>
      </w:tr>
      <w:tr>
        <w:tc>
          <w:tcPr>
            <w:tcW w:type="dxa" w:w="4873"/>
          </w:tcPr>
          <w:p>
            <w:r>
              <w:rPr>
                <w:b/>
                <w:sz w:val="19"/>
              </w:rPr>
              <w:t>Mois 3</w:t>
            </w:r>
          </w:p>
        </w:tc>
        <w:tc>
          <w:tcPr>
            <w:tcW w:type="dxa" w:w="4873"/>
          </w:tcPr>
          <w:p>
            <w:r>
              <w:rPr>
                <w:sz w:val="19"/>
              </w:rPr>
              <w:t>Affichage mis en place sur tous les sites, photographies datées (2).</w:t>
            </w:r>
          </w:p>
        </w:tc>
      </w:tr>
      <w:tr>
        <w:tc>
          <w:tcPr>
            <w:tcW w:type="dxa" w:w="4873"/>
          </w:tcPr>
          <w:p>
            <w:r>
              <w:rPr>
                <w:b/>
                <w:sz w:val="19"/>
              </w:rPr>
              <w:t>Mois 4 à 6</w:t>
            </w:r>
          </w:p>
        </w:tc>
        <w:tc>
          <w:tcPr>
            <w:tcW w:type="dxa" w:w="4873"/>
          </w:tcPr>
          <w:p>
            <w:r>
              <w:rPr>
                <w:sz w:val="19"/>
              </w:rPr>
              <w:t>Formation de l’encadrement — une journée par session de douze à quinze (7).</w:t>
            </w:r>
          </w:p>
        </w:tc>
      </w:tr>
      <w:tr>
        <w:tc>
          <w:tcPr>
            <w:tcW w:type="dxa" w:w="4873"/>
          </w:tcPr>
          <w:p>
            <w:r>
              <w:rPr>
                <w:b/>
                <w:sz w:val="19"/>
              </w:rPr>
              <w:t>Mois 5</w:t>
            </w:r>
          </w:p>
        </w:tc>
        <w:tc>
          <w:tcPr>
            <w:tcW w:type="dxa" w:w="4873"/>
          </w:tcPr>
          <w:p>
            <w:r>
              <w:rPr>
                <w:sz w:val="19"/>
              </w:rPr>
              <w:t>Mise à jour du document unique, volet risques psychosociaux, avec consultation du comité (1).</w:t>
            </w:r>
          </w:p>
        </w:tc>
      </w:tr>
      <w:tr>
        <w:tc>
          <w:tcPr>
            <w:tcW w:type="dxa" w:w="4873"/>
          </w:tcPr>
          <w:p>
            <w:r>
              <w:rPr>
                <w:b/>
                <w:sz w:val="19"/>
              </w:rPr>
              <w:t>Mois 6 à 8</w:t>
            </w:r>
          </w:p>
        </w:tc>
        <w:tc>
          <w:tcPr>
            <w:tcW w:type="dxa" w:w="4873"/>
          </w:tcPr>
          <w:p>
            <w:r>
              <w:rPr>
                <w:sz w:val="19"/>
              </w:rPr>
              <w:t>Information de l’ensemble des salariés — une heure trente par groupe (9).</w:t>
            </w:r>
          </w:p>
        </w:tc>
      </w:tr>
      <w:tr>
        <w:tc>
          <w:tcPr>
            <w:tcW w:type="dxa" w:w="4873"/>
          </w:tcPr>
          <w:p>
            <w:r>
              <w:rPr>
                <w:b/>
                <w:sz w:val="19"/>
              </w:rPr>
              <w:t>Mois 7</w:t>
            </w:r>
          </w:p>
        </w:tc>
        <w:tc>
          <w:tcPr>
            <w:tcW w:type="dxa" w:w="4873"/>
          </w:tcPr>
          <w:p>
            <w:r>
              <w:rPr>
                <w:sz w:val="19"/>
              </w:rPr>
              <w:t>Intégration de la notice au livret d’accueil ; premier contrôle mensuel des entrants (10).</w:t>
            </w:r>
          </w:p>
        </w:tc>
      </w:tr>
      <w:tr>
        <w:tc>
          <w:tcPr>
            <w:tcW w:type="dxa" w:w="4873"/>
          </w:tcPr>
          <w:p>
            <w:r>
              <w:rPr>
                <w:b/>
                <w:sz w:val="19"/>
              </w:rPr>
              <w:t>Mois 9</w:t>
            </w:r>
          </w:p>
        </w:tc>
        <w:tc>
          <w:tcPr>
            <w:tcW w:type="dxa" w:w="4873"/>
          </w:tcPr>
          <w:p>
            <w:r>
              <w:rPr>
                <w:sz w:val="19"/>
              </w:rPr>
              <w:t>Dépôt du règlement intérieur au greffe, transmission à l’inspection du travail (3).</w:t>
            </w:r>
          </w:p>
        </w:tc>
      </w:tr>
      <w:tr>
        <w:tc>
          <w:tcPr>
            <w:tcW w:type="dxa" w:w="4873"/>
          </w:tcPr>
          <w:p>
            <w:r>
              <w:rPr>
                <w:b/>
                <w:sz w:val="19"/>
              </w:rPr>
              <w:t>Mois 12</w:t>
            </w:r>
          </w:p>
        </w:tc>
        <w:tc>
          <w:tcPr>
            <w:tcW w:type="dxa" w:w="4873"/>
          </w:tcPr>
          <w:p>
            <w:r>
              <w:rPr>
                <w:sz w:val="19"/>
              </w:rPr>
              <w:t>Bilan annuel du registre (11). Consultation du comité. Édition du dossier de preuve.</w:t>
            </w:r>
          </w:p>
        </w:tc>
      </w:tr>
      <w:tr>
        <w:tc>
          <w:tcPr>
            <w:tcW w:type="dxa" w:w="4873"/>
          </w:tcPr>
          <w:p>
            <w:r>
              <w:rPr>
                <w:b/>
                <w:sz w:val="19"/>
              </w:rPr>
              <w:t>Puis</w:t>
            </w:r>
          </w:p>
        </w:tc>
        <w:tc>
          <w:tcPr>
            <w:tcW w:type="dxa" w:w="4873"/>
          </w:tcPr>
          <w:p>
            <w:r>
              <w:rPr>
                <w:sz w:val="19"/>
              </w:rPr>
              <w:t>Rappel de deux heures pour l’encadrement tous les deux ans (7). Information annuelle pour tous (9). Contrôle semestriel de l’affichage (2). Mise à jour annuelle du document unique (1). L’action 12 s’applique à chaque signalement, sans calendrier.</w:t>
            </w:r>
          </w:p>
        </w:tc>
      </w:tr>
    </w:tbl>
    <w:p>
      <w:pPr>
        <w:spacing w:before="240" w:after="120"/>
      </w:pPr>
      <w:r>
        <w:rPr>
          <w:b w:val="0"/>
          <w:i/>
          <w:color w:val="555555"/>
          <w:sz w:val="19"/>
        </w:rPr>
        <w:t>Ce calendrier n’est pas une contrainte réglementaire : c’est l’ordre dans lequel les actions se tiennent le mieux. Ce qui compte devant le juge, c’est que chacune des douze soit datée et prouvée.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