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i w:val="0"/>
          <w:color w:val="1F3B57"/>
          <w:sz w:val="40"/>
        </w:rPr>
        <w:t>PRÉVENTION DU HARCÈLEMENT MORAL ET SEXUEL</w:t>
      </w:r>
    </w:p>
    <w:p>
      <w:pPr>
        <w:spacing w:before="0" w:after="600"/>
        <w:jc w:val="center"/>
      </w:pPr>
      <w:r>
        <w:rPr>
          <w:b w:val="0"/>
          <w:i/>
          <w:color w:val="A0842E"/>
          <w:sz w:val="28"/>
        </w:rPr>
        <w:t>Les douze actions, et le contenu détaillé de chacune</w:t>
      </w:r>
    </w:p>
    <w:p>
      <w:pPr>
        <w:spacing w:after="160"/>
        <w:pBdr>
          <w:bottom w:val="single" w:sz="8" w:color="C9A84C"/>
        </w:pBdr>
      </w:pPr>
    </w:p>
    <w:p>
      <w:pPr>
        <w:spacing w:before="200" w:after="160"/>
      </w:pPr>
      <w:r>
        <w:rPr>
          <w:b w:val="0"/>
          <w:i w:val="0"/>
          <w:sz w:val="22"/>
        </w:rPr>
        <w:t>Ce document contient les douze actions que l’employeur doit pouvoir prouver, numérotées de 1 à 12, et le contenu détaillé de chacune : ce qui est fait, ce qui est dit, pendant combien de temps, avec quel exercice, et ce qui est signé. Les actions 7, 8 et 9 sont les trois programmes de formation et d’information ; elles sont développées module par module.</w:t>
      </w:r>
    </w:p>
    <w:p>
      <w:pPr>
        <w:spacing w:before="0" w:after="160"/>
      </w:pPr>
      <w:r>
        <w:rPr>
          <w:b w:val="0"/>
          <w:i w:val="0"/>
          <w:sz w:val="22"/>
        </w:rPr>
        <w:t>Chaque action est rattachée au principe général de prévention qu’elle met en œuvre. Ces principes sont au nombre de neuf, et ils sont dans la loi : article L.4121-2, dont le 7° nomme expressément le harcèlement moral, le harcèlement sexuel et les agissements sexistes. Le nombre douze, lui, n’est pas dans la loi : c’est notre découpage, choisi pour que chaque action produise une pièce.</w:t>
      </w:r>
    </w:p>
    <w:p>
      <w:pPr>
        <w:spacing w:before="0" w:after="160"/>
      </w:pPr>
      <w:r>
        <w:rPr>
          <w:b w:val="0"/>
          <w:i w:val="0"/>
          <w:sz w:val="22"/>
        </w:rPr>
        <w:t>Il est construit sur une règle simple : depuis l’arrêt Air France du 25 novembre 2015 (n° 14-24.444), transposé au harcèlement moral le 1er juin 2016 (n° 14-19.702), l’employeur ne se dégage de sa responsabilité que s’il justifie CUMULATIVEMENT d’actions d’information et de formation menées en amont, et d’une réaction immédiate en aval. La seule procédure d’alerte inscrite au règlement intérieur ne suffit pas. L’enquête interne non plus : elle n’est même pas obligatoire en soi (Cass. soc., 12 juin 2024, n° 23-13.975).</w:t>
      </w:r>
    </w:p>
    <w:p>
      <w:pPr>
        <w:spacing w:before="0" w:after="600"/>
      </w:pPr>
      <w:r>
        <w:rPr>
          <w:b/>
          <w:i w:val="0"/>
          <w:sz w:val="22"/>
        </w:rPr>
        <w:t>Ce qui n’est pas prouvé n’a pas été fait. Chaque action se termine donc par la liste des pièces qu’elle produit.</w:t>
      </w:r>
    </w:p>
    <w:p>
      <w:pPr>
        <w:spacing w:before="400" w:after="160"/>
      </w:pPr>
      <w:r>
        <w:rPr>
          <w:b w:val="0"/>
          <w:i w:val="0"/>
          <w:color w:val="555555"/>
          <w:sz w:val="21"/>
        </w:rPr>
        <w:t>Entreprise : ______________________________________</w:t>
      </w:r>
    </w:p>
    <w:p>
      <w:pPr>
        <w:spacing w:before="0" w:after="160"/>
      </w:pPr>
      <w:r>
        <w:rPr>
          <w:b w:val="0"/>
          <w:i w:val="0"/>
          <w:color w:val="555555"/>
          <w:sz w:val="21"/>
        </w:rPr>
        <w:t>Établi le : ________________     Par : ________________________</w:t>
      </w:r>
    </w:p>
    <w:p>
      <w:r>
        <w:br w:type="page"/>
      </w:r>
    </w:p>
    <w:p>
      <w:pPr>
        <w:spacing w:before="0" w:after="80"/>
      </w:pPr>
      <w:r>
        <w:rPr>
          <w:b/>
          <w:i w:val="0"/>
          <w:color w:val="1F3B57"/>
          <w:sz w:val="32"/>
        </w:rPr>
        <w:t>Les douze actions</w:t>
      </w:r>
    </w:p>
    <w:p>
      <w:pPr>
        <w:spacing w:after="160"/>
        <w:pBdr>
          <w:bottom w:val="single" w:sz="8" w:color="C9A84C"/>
        </w:pBdr>
      </w:pPr>
    </w:p>
    <w:p>
      <w:pPr>
        <w:spacing w:before="120" w:after="80"/>
      </w:pPr>
      <w:r>
        <w:rPr>
          <w:b w:val="0"/>
          <w:i w:val="0"/>
          <w:sz w:val="21"/>
        </w:rPr>
        <w:t>Ce tableau est la liste complète. Chaque ligne renvoie au chapitre du même numéro, où l’action est développée.</w:t>
      </w:r>
    </w:p>
    <w:p>
      <w:pPr>
        <w:spacing w:before="0" w:after="200"/>
      </w:pPr>
      <w:r>
        <w:rPr>
          <w:b/>
          <w:i w:val="0"/>
          <w:sz w:val="21"/>
        </w:rPr>
        <w:t>La dernière colonne est celle qui compte : sans la pièce, l’action est réputée non faite.</w:t>
      </w:r>
    </w:p>
    <w:tbl>
      <w:tblPr>
        <w:tblStyle w:val="TableGrid"/>
        <w:tblW w:type="auto" w:w="0"/>
        <w:tblLook w:firstColumn="1" w:firstRow="1" w:lastColumn="0" w:lastRow="0" w:noHBand="0" w:noVBand="1" w:val="04A0"/>
      </w:tblPr>
      <w:tblGrid>
        <w:gridCol w:w="510"/>
        <w:gridCol w:w="3005"/>
        <w:gridCol w:w="964"/>
        <w:gridCol w:w="1928"/>
        <w:gridCol w:w="2948"/>
      </w:tblGrid>
      <w:tr>
        <w:tc>
          <w:tcPr>
            <w:tcW w:type="dxa" w:w="1949"/>
          </w:tcPr>
          <w:p>
            <w:r/>
            <w:r>
              <w:rPr>
                <w:b/>
                <w:sz w:val="18"/>
              </w:rPr>
              <w:t>N°</w:t>
            </w:r>
          </w:p>
        </w:tc>
        <w:tc>
          <w:tcPr>
            <w:tcW w:type="dxa" w:w="1949"/>
          </w:tcPr>
          <w:p>
            <w:r/>
            <w:r>
              <w:rPr>
                <w:b/>
                <w:sz w:val="18"/>
              </w:rPr>
              <w:t>L’action</w:t>
            </w:r>
          </w:p>
        </w:tc>
        <w:tc>
          <w:tcPr>
            <w:tcW w:type="dxa" w:w="1949"/>
          </w:tcPr>
          <w:p>
            <w:r/>
            <w:r>
              <w:rPr>
                <w:b/>
                <w:sz w:val="18"/>
              </w:rPr>
              <w:t>Principe</w:t>
              <w:br/>
            </w:r>
            <w:r>
              <w:rPr>
                <w:b/>
                <w:sz w:val="18"/>
              </w:rPr>
              <w:t>L.4121-2</w:t>
            </w:r>
          </w:p>
        </w:tc>
        <w:tc>
          <w:tcPr>
            <w:tcW w:type="dxa" w:w="1949"/>
          </w:tcPr>
          <w:p>
            <w:r/>
            <w:r>
              <w:rPr>
                <w:b/>
                <w:sz w:val="18"/>
              </w:rPr>
              <w:t>Article</w:t>
            </w:r>
          </w:p>
        </w:tc>
        <w:tc>
          <w:tcPr>
            <w:tcW w:type="dxa" w:w="1949"/>
          </w:tcPr>
          <w:p>
            <w:r/>
            <w:r>
              <w:rPr>
                <w:b/>
                <w:sz w:val="18"/>
              </w:rPr>
              <w:t>La pièce qui la prouve</w:t>
            </w:r>
          </w:p>
        </w:tc>
      </w:tr>
      <w:tr>
        <w:tc>
          <w:tcPr>
            <w:tcW w:type="dxa" w:w="1949"/>
          </w:tcPr>
          <w:p>
            <w:r>
              <w:rPr>
                <w:b/>
                <w:color w:val="1F3B57"/>
                <w:sz w:val="18"/>
              </w:rPr>
              <w:t>1</w:t>
            </w:r>
          </w:p>
        </w:tc>
        <w:tc>
          <w:tcPr>
            <w:tcW w:type="dxa" w:w="1949"/>
          </w:tcPr>
          <w:p>
            <w:r>
              <w:rPr>
                <w:b/>
                <w:sz w:val="18"/>
              </w:rPr>
              <w:t>Inscrire le risque au document unique</w:t>
            </w:r>
          </w:p>
        </w:tc>
        <w:tc>
          <w:tcPr>
            <w:tcW w:type="dxa" w:w="1949"/>
          </w:tcPr>
          <w:p>
            <w:r>
              <w:rPr>
                <w:b/>
                <w:color w:val="1F3B57"/>
                <w:sz w:val="18"/>
              </w:rPr>
              <w:t>2° et 7°</w:t>
            </w:r>
          </w:p>
        </w:tc>
        <w:tc>
          <w:tcPr>
            <w:tcW w:type="dxa" w:w="1949"/>
          </w:tcPr>
          <w:p>
            <w:r>
              <w:rPr>
                <w:sz w:val="17"/>
              </w:rPr>
              <w:t>L.4121-3, L.4121-3-1, R.4121-1</w:t>
            </w:r>
          </w:p>
        </w:tc>
        <w:tc>
          <w:tcPr>
            <w:tcW w:type="dxa" w:w="1949"/>
          </w:tcPr>
          <w:p>
            <w:r>
              <w:rPr>
                <w:color w:val="555555"/>
                <w:sz w:val="17"/>
              </w:rPr>
              <w:t>Document unique daté, volet risques psychosociaux</w:t>
            </w:r>
          </w:p>
        </w:tc>
      </w:tr>
      <w:tr>
        <w:tc>
          <w:tcPr>
            <w:tcW w:type="dxa" w:w="1949"/>
          </w:tcPr>
          <w:p>
            <w:r>
              <w:rPr>
                <w:b/>
                <w:color w:val="1F3B57"/>
                <w:sz w:val="18"/>
              </w:rPr>
              <w:t>2</w:t>
            </w:r>
          </w:p>
        </w:tc>
        <w:tc>
          <w:tcPr>
            <w:tcW w:type="dxa" w:w="1949"/>
          </w:tcPr>
          <w:p>
            <w:r>
              <w:rPr>
                <w:b/>
                <w:sz w:val="18"/>
              </w:rPr>
              <w:t>Afficher les textes et les voies de recours</w:t>
            </w:r>
          </w:p>
        </w:tc>
        <w:tc>
          <w:tcPr>
            <w:tcW w:type="dxa" w:w="1949"/>
          </w:tcPr>
          <w:p>
            <w:r>
              <w:rPr>
                <w:b/>
                <w:color w:val="1F3B57"/>
                <w:sz w:val="18"/>
              </w:rPr>
              <w:t>9°</w:t>
            </w:r>
          </w:p>
        </w:tc>
        <w:tc>
          <w:tcPr>
            <w:tcW w:type="dxa" w:w="1949"/>
          </w:tcPr>
          <w:p>
            <w:r>
              <w:rPr>
                <w:sz w:val="17"/>
              </w:rPr>
              <w:t>L.1152-4, L.1153-5, D.1151-1</w:t>
            </w:r>
          </w:p>
        </w:tc>
        <w:tc>
          <w:tcPr>
            <w:tcW w:type="dxa" w:w="1949"/>
          </w:tcPr>
          <w:p>
            <w:r>
              <w:rPr>
                <w:color w:val="555555"/>
                <w:sz w:val="17"/>
              </w:rPr>
              <w:t>Photographies datées de l’affichage, par site</w:t>
            </w:r>
          </w:p>
        </w:tc>
      </w:tr>
      <w:tr>
        <w:tc>
          <w:tcPr>
            <w:tcW w:type="dxa" w:w="1949"/>
          </w:tcPr>
          <w:p>
            <w:r>
              <w:rPr>
                <w:b/>
                <w:color w:val="1F3B57"/>
                <w:sz w:val="18"/>
              </w:rPr>
              <w:t>3</w:t>
            </w:r>
          </w:p>
        </w:tc>
        <w:tc>
          <w:tcPr>
            <w:tcW w:type="dxa" w:w="1949"/>
          </w:tcPr>
          <w:p>
            <w:r>
              <w:rPr>
                <w:b/>
                <w:sz w:val="18"/>
              </w:rPr>
              <w:t>Compléter le règlement intérieur</w:t>
            </w:r>
          </w:p>
        </w:tc>
        <w:tc>
          <w:tcPr>
            <w:tcW w:type="dxa" w:w="1949"/>
          </w:tcPr>
          <w:p>
            <w:r>
              <w:rPr>
                <w:b/>
                <w:color w:val="1F3B57"/>
                <w:sz w:val="18"/>
              </w:rPr>
              <w:t>1° et 9°</w:t>
            </w:r>
          </w:p>
        </w:tc>
        <w:tc>
          <w:tcPr>
            <w:tcW w:type="dxa" w:w="1949"/>
          </w:tcPr>
          <w:p>
            <w:r>
              <w:rPr>
                <w:sz w:val="17"/>
              </w:rPr>
              <w:t>L.1321-1, L.1321-2, L.1321-4</w:t>
            </w:r>
          </w:p>
        </w:tc>
        <w:tc>
          <w:tcPr>
            <w:tcW w:type="dxa" w:w="1949"/>
          </w:tcPr>
          <w:p>
            <w:r>
              <w:rPr>
                <w:color w:val="555555"/>
                <w:sz w:val="17"/>
              </w:rPr>
              <w:t>Récépissé de dépôt au greffe</w:t>
            </w:r>
          </w:p>
        </w:tc>
      </w:tr>
      <w:tr>
        <w:tc>
          <w:tcPr>
            <w:tcW w:type="dxa" w:w="1949"/>
          </w:tcPr>
          <w:p>
            <w:r>
              <w:rPr>
                <w:b/>
                <w:color w:val="1F3B57"/>
                <w:sz w:val="18"/>
              </w:rPr>
              <w:t>4</w:t>
            </w:r>
          </w:p>
        </w:tc>
        <w:tc>
          <w:tcPr>
            <w:tcW w:type="dxa" w:w="1949"/>
          </w:tcPr>
          <w:p>
            <w:r>
              <w:rPr>
                <w:b/>
                <w:sz w:val="18"/>
              </w:rPr>
              <w:t>Faire désigner le référent du comité</w:t>
            </w:r>
          </w:p>
        </w:tc>
        <w:tc>
          <w:tcPr>
            <w:tcW w:type="dxa" w:w="1949"/>
          </w:tcPr>
          <w:p>
            <w:r>
              <w:rPr>
                <w:b/>
                <w:color w:val="1F3B57"/>
                <w:sz w:val="18"/>
              </w:rPr>
              <w:t>7°</w:t>
            </w:r>
          </w:p>
        </w:tc>
        <w:tc>
          <w:tcPr>
            <w:tcW w:type="dxa" w:w="1949"/>
          </w:tcPr>
          <w:p>
            <w:r>
              <w:rPr>
                <w:sz w:val="17"/>
              </w:rPr>
              <w:t>L.2314-1, dernier alinéa</w:t>
            </w:r>
          </w:p>
        </w:tc>
        <w:tc>
          <w:tcPr>
            <w:tcW w:type="dxa" w:w="1949"/>
          </w:tcPr>
          <w:p>
            <w:r>
              <w:rPr>
                <w:color w:val="555555"/>
                <w:sz w:val="17"/>
              </w:rPr>
              <w:t>Extrait du procès-verbal de désignation</w:t>
            </w:r>
          </w:p>
        </w:tc>
      </w:tr>
      <w:tr>
        <w:tc>
          <w:tcPr>
            <w:tcW w:type="dxa" w:w="1949"/>
          </w:tcPr>
          <w:p>
            <w:r>
              <w:rPr>
                <w:b/>
                <w:color w:val="1F3B57"/>
                <w:sz w:val="18"/>
              </w:rPr>
              <w:t>5</w:t>
            </w:r>
          </w:p>
        </w:tc>
        <w:tc>
          <w:tcPr>
            <w:tcW w:type="dxa" w:w="1949"/>
          </w:tcPr>
          <w:p>
            <w:r>
              <w:rPr>
                <w:b/>
                <w:sz w:val="18"/>
              </w:rPr>
              <w:t>Désigner le référent de l’employeur (≥ 250 salariés)</w:t>
            </w:r>
          </w:p>
        </w:tc>
        <w:tc>
          <w:tcPr>
            <w:tcW w:type="dxa" w:w="1949"/>
          </w:tcPr>
          <w:p>
            <w:r>
              <w:rPr>
                <w:b/>
                <w:color w:val="1F3B57"/>
                <w:sz w:val="18"/>
              </w:rPr>
              <w:t>3° et 9°</w:t>
            </w:r>
          </w:p>
        </w:tc>
        <w:tc>
          <w:tcPr>
            <w:tcW w:type="dxa" w:w="1949"/>
          </w:tcPr>
          <w:p>
            <w:r>
              <w:rPr>
                <w:sz w:val="17"/>
              </w:rPr>
              <w:t>L.1153-5-1</w:t>
            </w:r>
          </w:p>
        </w:tc>
        <w:tc>
          <w:tcPr>
            <w:tcW w:type="dxa" w:w="1949"/>
          </w:tcPr>
          <w:p>
            <w:r>
              <w:rPr>
                <w:color w:val="555555"/>
                <w:sz w:val="17"/>
              </w:rPr>
              <w:t>Note de désignation et lettre de mission</w:t>
            </w:r>
          </w:p>
        </w:tc>
      </w:tr>
      <w:tr>
        <w:tc>
          <w:tcPr>
            <w:tcW w:type="dxa" w:w="1949"/>
          </w:tcPr>
          <w:p>
            <w:r>
              <w:rPr>
                <w:b/>
                <w:color w:val="1F3B57"/>
                <w:sz w:val="18"/>
              </w:rPr>
              <w:t>6</w:t>
            </w:r>
          </w:p>
        </w:tc>
        <w:tc>
          <w:tcPr>
            <w:tcW w:type="dxa" w:w="1949"/>
          </w:tcPr>
          <w:p>
            <w:r>
              <w:rPr>
                <w:b/>
                <w:sz w:val="18"/>
              </w:rPr>
              <w:t>Écrire et diffuser la procédure de signalement</w:t>
            </w:r>
          </w:p>
        </w:tc>
        <w:tc>
          <w:tcPr>
            <w:tcW w:type="dxa" w:w="1949"/>
          </w:tcPr>
          <w:p>
            <w:r>
              <w:rPr>
                <w:b/>
                <w:color w:val="1F3B57"/>
                <w:sz w:val="18"/>
              </w:rPr>
              <w:t>7° et 8°</w:t>
            </w:r>
          </w:p>
        </w:tc>
        <w:tc>
          <w:tcPr>
            <w:tcW w:type="dxa" w:w="1949"/>
          </w:tcPr>
          <w:p>
            <w:r>
              <w:rPr>
                <w:sz w:val="17"/>
              </w:rPr>
              <w:t>L.1152-4, L.4121-1 (3°)</w:t>
            </w:r>
          </w:p>
        </w:tc>
        <w:tc>
          <w:tcPr>
            <w:tcW w:type="dxa" w:w="1949"/>
          </w:tcPr>
          <w:p>
            <w:r>
              <w:rPr>
                <w:color w:val="555555"/>
                <w:sz w:val="17"/>
              </w:rPr>
              <w:t>Preuve de diffusion horodatée</w:t>
            </w:r>
          </w:p>
        </w:tc>
      </w:tr>
      <w:tr>
        <w:tc>
          <w:tcPr>
            <w:tcW w:type="dxa" w:w="1949"/>
          </w:tcPr>
          <w:p>
            <w:r>
              <w:rPr>
                <w:b/>
                <w:color w:val="1F3B57"/>
                <w:sz w:val="18"/>
              </w:rPr>
              <w:t>7</w:t>
            </w:r>
          </w:p>
        </w:tc>
        <w:tc>
          <w:tcPr>
            <w:tcW w:type="dxa" w:w="1949"/>
          </w:tcPr>
          <w:p>
            <w:r>
              <w:rPr>
                <w:b/>
                <w:sz w:val="18"/>
              </w:rPr>
              <w:t>Former les dirigeants et l’encadrement — programme, 7 h</w:t>
            </w:r>
          </w:p>
        </w:tc>
        <w:tc>
          <w:tcPr>
            <w:tcW w:type="dxa" w:w="1949"/>
          </w:tcPr>
          <w:p>
            <w:r>
              <w:rPr>
                <w:b/>
                <w:color w:val="1F3B57"/>
                <w:sz w:val="18"/>
              </w:rPr>
              <w:t>9°</w:t>
            </w:r>
          </w:p>
        </w:tc>
        <w:tc>
          <w:tcPr>
            <w:tcW w:type="dxa" w:w="1949"/>
          </w:tcPr>
          <w:p>
            <w:r>
              <w:rPr>
                <w:sz w:val="17"/>
              </w:rPr>
              <w:t>L.4121-1 (2°)</w:t>
            </w:r>
          </w:p>
        </w:tc>
        <w:tc>
          <w:tcPr>
            <w:tcW w:type="dxa" w:w="1949"/>
          </w:tcPr>
          <w:p>
            <w:r>
              <w:rPr>
                <w:color w:val="555555"/>
                <w:sz w:val="17"/>
              </w:rPr>
              <w:t>Feuille d’émargement et questionnaire corrigé</w:t>
            </w:r>
          </w:p>
        </w:tc>
      </w:tr>
      <w:tr>
        <w:tc>
          <w:tcPr>
            <w:tcW w:type="dxa" w:w="1949"/>
          </w:tcPr>
          <w:p>
            <w:r>
              <w:rPr>
                <w:b/>
                <w:color w:val="1F3B57"/>
                <w:sz w:val="18"/>
              </w:rPr>
              <w:t>8</w:t>
            </w:r>
          </w:p>
        </w:tc>
        <w:tc>
          <w:tcPr>
            <w:tcW w:type="dxa" w:w="1949"/>
          </w:tcPr>
          <w:p>
            <w:r>
              <w:rPr>
                <w:b/>
                <w:sz w:val="18"/>
              </w:rPr>
              <w:t>Former les référents — programme, 14 h</w:t>
            </w:r>
          </w:p>
        </w:tc>
        <w:tc>
          <w:tcPr>
            <w:tcW w:type="dxa" w:w="1949"/>
          </w:tcPr>
          <w:p>
            <w:r>
              <w:rPr>
                <w:b/>
                <w:color w:val="1F3B57"/>
                <w:sz w:val="18"/>
              </w:rPr>
              <w:t>9°</w:t>
            </w:r>
          </w:p>
        </w:tc>
        <w:tc>
          <w:tcPr>
            <w:tcW w:type="dxa" w:w="1949"/>
          </w:tcPr>
          <w:p>
            <w:r>
              <w:rPr>
                <w:sz w:val="17"/>
              </w:rPr>
              <w:t>L.2315-18, L.4121-1 (2°)</w:t>
            </w:r>
          </w:p>
        </w:tc>
        <w:tc>
          <w:tcPr>
            <w:tcW w:type="dxa" w:w="1949"/>
          </w:tcPr>
          <w:p>
            <w:r>
              <w:rPr>
                <w:color w:val="555555"/>
                <w:sz w:val="17"/>
              </w:rPr>
              <w:t>Attestation individuelle de formation</w:t>
            </w:r>
          </w:p>
        </w:tc>
      </w:tr>
      <w:tr>
        <w:tc>
          <w:tcPr>
            <w:tcW w:type="dxa" w:w="1949"/>
          </w:tcPr>
          <w:p>
            <w:r>
              <w:rPr>
                <w:b/>
                <w:color w:val="1F3B57"/>
                <w:sz w:val="18"/>
              </w:rPr>
              <w:t>9</w:t>
            </w:r>
          </w:p>
        </w:tc>
        <w:tc>
          <w:tcPr>
            <w:tcW w:type="dxa" w:w="1949"/>
          </w:tcPr>
          <w:p>
            <w:r>
              <w:rPr>
                <w:b/>
                <w:sz w:val="18"/>
              </w:rPr>
              <w:t>Informer l’ensemble des salariés — programme, 1 h 30</w:t>
            </w:r>
          </w:p>
        </w:tc>
        <w:tc>
          <w:tcPr>
            <w:tcW w:type="dxa" w:w="1949"/>
          </w:tcPr>
          <w:p>
            <w:r>
              <w:rPr>
                <w:b/>
                <w:color w:val="1F3B57"/>
                <w:sz w:val="18"/>
              </w:rPr>
              <w:t>8° et 9°</w:t>
            </w:r>
          </w:p>
        </w:tc>
        <w:tc>
          <w:tcPr>
            <w:tcW w:type="dxa" w:w="1949"/>
          </w:tcPr>
          <w:p>
            <w:r>
              <w:rPr>
                <w:sz w:val="17"/>
              </w:rPr>
              <w:t>L.4121-1 (2°)</w:t>
            </w:r>
          </w:p>
        </w:tc>
        <w:tc>
          <w:tcPr>
            <w:tcW w:type="dxa" w:w="1949"/>
          </w:tcPr>
          <w:p>
            <w:r>
              <w:rPr>
                <w:color w:val="555555"/>
                <w:sz w:val="17"/>
              </w:rPr>
              <w:t>Émargement ou accusé de lecture horodaté</w:t>
            </w:r>
          </w:p>
        </w:tc>
      </w:tr>
      <w:tr>
        <w:tc>
          <w:tcPr>
            <w:tcW w:type="dxa" w:w="1949"/>
          </w:tcPr>
          <w:p>
            <w:r>
              <w:rPr>
                <w:b/>
                <w:color w:val="1F3B57"/>
                <w:sz w:val="18"/>
              </w:rPr>
              <w:t>10</w:t>
            </w:r>
          </w:p>
        </w:tc>
        <w:tc>
          <w:tcPr>
            <w:tcW w:type="dxa" w:w="1949"/>
          </w:tcPr>
          <w:p>
            <w:r>
              <w:rPr>
                <w:b/>
                <w:sz w:val="18"/>
              </w:rPr>
              <w:t>Informer à l’embauche</w:t>
            </w:r>
          </w:p>
        </w:tc>
        <w:tc>
          <w:tcPr>
            <w:tcW w:type="dxa" w:w="1949"/>
          </w:tcPr>
          <w:p>
            <w:r>
              <w:rPr>
                <w:b/>
                <w:color w:val="1F3B57"/>
                <w:sz w:val="18"/>
              </w:rPr>
              <w:t>9°</w:t>
            </w:r>
          </w:p>
        </w:tc>
        <w:tc>
          <w:tcPr>
            <w:tcW w:type="dxa" w:w="1949"/>
          </w:tcPr>
          <w:p>
            <w:r>
              <w:rPr>
                <w:sz w:val="17"/>
              </w:rPr>
              <w:t>L.4121-1 (2°), L.1153-5</w:t>
            </w:r>
          </w:p>
        </w:tc>
        <w:tc>
          <w:tcPr>
            <w:tcW w:type="dxa" w:w="1949"/>
          </w:tcPr>
          <w:p>
            <w:r>
              <w:rPr>
                <w:color w:val="555555"/>
                <w:sz w:val="17"/>
              </w:rPr>
              <w:t>Notice émargée, et contrôle mensuel des entrants</w:t>
            </w:r>
          </w:p>
        </w:tc>
      </w:tr>
      <w:tr>
        <w:tc>
          <w:tcPr>
            <w:tcW w:type="dxa" w:w="1949"/>
          </w:tcPr>
          <w:p>
            <w:r>
              <w:rPr>
                <w:b/>
                <w:color w:val="1F3B57"/>
                <w:sz w:val="18"/>
              </w:rPr>
              <w:t>11</w:t>
            </w:r>
          </w:p>
        </w:tc>
        <w:tc>
          <w:tcPr>
            <w:tcW w:type="dxa" w:w="1949"/>
          </w:tcPr>
          <w:p>
            <w:r>
              <w:rPr>
                <w:b/>
                <w:sz w:val="18"/>
              </w:rPr>
              <w:t>Tenir le registre des signalements</w:t>
            </w:r>
          </w:p>
        </w:tc>
        <w:tc>
          <w:tcPr>
            <w:tcW w:type="dxa" w:w="1949"/>
          </w:tcPr>
          <w:p>
            <w:r>
              <w:rPr>
                <w:b/>
                <w:color w:val="1F3B57"/>
                <w:sz w:val="18"/>
              </w:rPr>
              <w:t>2° et 7°</w:t>
            </w:r>
          </w:p>
        </w:tc>
        <w:tc>
          <w:tcPr>
            <w:tcW w:type="dxa" w:w="1949"/>
          </w:tcPr>
          <w:p>
            <w:r>
              <w:rPr>
                <w:sz w:val="17"/>
              </w:rPr>
              <w:t>L.4121-1, R.4121-2 — RGPD</w:t>
            </w:r>
          </w:p>
        </w:tc>
        <w:tc>
          <w:tcPr>
            <w:tcW w:type="dxa" w:w="1949"/>
          </w:tcPr>
          <w:p>
            <w:r>
              <w:rPr>
                <w:color w:val="555555"/>
                <w:sz w:val="17"/>
              </w:rPr>
              <w:t>Registre tenu et bilan annuel</w:t>
            </w:r>
          </w:p>
        </w:tc>
      </w:tr>
      <w:tr>
        <w:tc>
          <w:tcPr>
            <w:tcW w:type="dxa" w:w="1949"/>
          </w:tcPr>
          <w:p>
            <w:r>
              <w:rPr>
                <w:b/>
                <w:color w:val="1F3B57"/>
                <w:sz w:val="18"/>
              </w:rPr>
              <w:t>12</w:t>
            </w:r>
          </w:p>
        </w:tc>
        <w:tc>
          <w:tcPr>
            <w:tcW w:type="dxa" w:w="1949"/>
          </w:tcPr>
          <w:p>
            <w:r>
              <w:rPr>
                <w:b/>
                <w:sz w:val="18"/>
              </w:rPr>
              <w:t>Réagir : le protocole, dans l’ordre</w:t>
            </w:r>
          </w:p>
        </w:tc>
        <w:tc>
          <w:tcPr>
            <w:tcW w:type="dxa" w:w="1949"/>
          </w:tcPr>
          <w:p>
            <w:r>
              <w:rPr>
                <w:b/>
                <w:color w:val="1F3B57"/>
                <w:sz w:val="18"/>
              </w:rPr>
              <w:t>3° et 6°</w:t>
            </w:r>
          </w:p>
        </w:tc>
        <w:tc>
          <w:tcPr>
            <w:tcW w:type="dxa" w:w="1949"/>
          </w:tcPr>
          <w:p>
            <w:r>
              <w:rPr>
                <w:sz w:val="17"/>
              </w:rPr>
              <w:t>L.1152-2 à L.1152-4</w:t>
            </w:r>
          </w:p>
        </w:tc>
        <w:tc>
          <w:tcPr>
            <w:tcW w:type="dxa" w:w="1949"/>
          </w:tcPr>
          <w:p>
            <w:r>
              <w:rPr>
                <w:color w:val="555555"/>
                <w:sz w:val="17"/>
              </w:rPr>
              <w:t>Accusé de réception, décision motivée, suivi à trois mois</w:t>
            </w:r>
          </w:p>
        </w:tc>
      </w:tr>
    </w:tbl>
    <w:p>
      <w:pPr>
        <w:spacing w:before="240" w:after="120"/>
      </w:pPr>
      <w:r>
        <w:rPr>
          <w:b w:val="0"/>
          <w:i/>
          <w:color w:val="555555"/>
          <w:sz w:val="20"/>
        </w:rPr>
        <w:t>Les actions 1 à 6 s’écrivent une fois et se tiennent à jour. Les actions 7, 8 et 9 se renouvellent : rappel de deux heures pour l’encadrement tous les deux ans, information annuelle pour tous. Les actions 10, 11 et 12 sont permanentes.</w:t>
      </w:r>
    </w:p>
    <w:p>
      <w:r>
        <w:br w:type="page"/>
      </w:r>
    </w:p>
    <w:p>
      <w:pPr>
        <w:spacing w:before="0" w:after="80"/>
      </w:pPr>
      <w:r>
        <w:rPr>
          <w:b/>
          <w:i w:val="0"/>
          <w:color w:val="1F3B57"/>
          <w:sz w:val="32"/>
        </w:rPr>
        <w:t>Le socle juridique, en une page</w:t>
      </w:r>
    </w:p>
    <w:p>
      <w:pPr>
        <w:spacing w:after="160"/>
        <w:pBdr>
          <w:bottom w:val="single" w:sz="8" w:color="C9A84C"/>
        </w:pBdr>
      </w:pPr>
    </w:p>
    <w:p>
      <w:pPr>
        <w:spacing w:before="120" w:after="80"/>
      </w:pPr>
      <w:r>
        <w:rPr>
          <w:b/>
          <w:i w:val="0"/>
          <w:color w:val="1F3B57"/>
          <w:sz w:val="25"/>
        </w:rPr>
        <w:t>Ce que la loi impose</w:t>
      </w:r>
    </w:p>
    <w:p>
      <w:pPr>
        <w:spacing w:before="0" w:after="120"/>
      </w:pPr>
      <w:r>
        <w:rPr>
          <w:b w:val="0"/>
          <w:i w:val="0"/>
          <w:sz w:val="21"/>
        </w:rPr>
        <w:t>Article L.4121-1. L’employeur prend les mesures nécessaires pour assurer la sécurité et protéger la santé physique et mentale des travailleurs. Ces mesures comprennent des actions de prévention, des actions d’information et de formation, et la mise en place d’une organisation et de moyens adaptés. Il veille à leur adaptation pour tenir compte du changement des circonstances.</w:t>
      </w:r>
    </w:p>
    <w:p>
      <w:pPr>
        <w:spacing w:before="0" w:after="120"/>
      </w:pPr>
      <w:r>
        <w:rPr>
          <w:b w:val="0"/>
          <w:i w:val="0"/>
          <w:sz w:val="21"/>
        </w:rPr>
        <w:t>Article L.4121-2. Neuf principes généraux de prévention. Le 7° vise expressément la planification de la prévention en y intégrant « les risques liés au harcèlement moral et au harcèlement sexuel, tels qu’ils sont définis aux articles L.1152-1 et L.1153-1, ainsi que ceux liés aux agissements sexistes définis à l’article L.1142-2-1 ».</w:t>
      </w:r>
    </w:p>
    <w:p>
      <w:pPr>
        <w:spacing w:before="240" w:after="80"/>
      </w:pPr>
      <w:r>
        <w:rPr>
          <w:b/>
          <w:i w:val="0"/>
          <w:color w:val="1F3B57"/>
          <w:sz w:val="25"/>
        </w:rPr>
        <w:t>Ce que la jurisprudence en tire</w:t>
      </w:r>
    </w:p>
    <w:p>
      <w:pPr>
        <w:spacing w:before="0" w:after="120"/>
      </w:pPr>
      <w:r>
        <w:rPr>
          <w:b w:val="0"/>
          <w:i w:val="0"/>
          <w:sz w:val="21"/>
        </w:rPr>
        <w:t>L’obligation de sécurité était de résultat : la responsabilité de l’employeur était engagée dès le constat du harcèlement, même s’il avait tout fait pour l’éviter. L’arrêt Air France (Cass. soc., 25 novembre 2015, n° 14-24.444) en a fait une obligation de moyens renforcée. La solution a été transposée au harcèlement moral l’année suivante (Cass. soc., 1er juin 2016, n° 14-19.702) : l’employeur s’exonère s’il démontre avoir satisfait à deux exigences — en amont, l’information et la formation ; en aval, une réaction adaptée dès qu’il est informé.</w:t>
      </w:r>
    </w:p>
    <w:p>
      <w:pPr>
        <w:spacing w:before="0" w:after="120"/>
      </w:pPr>
      <w:r>
        <w:rPr>
          <w:b/>
          <w:i w:val="0"/>
          <w:sz w:val="21"/>
        </w:rPr>
        <w:t>Le même arrêt précise que la seule introduction d’une procédure d’alerte dans le règlement intérieur, même mise en œuvre par la victime, est INSUFFISANTE à démontrer que toutes les mesures de prévention ont été prises.</w:t>
      </w:r>
    </w:p>
    <w:p>
      <w:pPr>
        <w:spacing w:before="240" w:after="80"/>
      </w:pPr>
      <w:r>
        <w:rPr>
          <w:b/>
          <w:i w:val="0"/>
          <w:color w:val="1F3B57"/>
          <w:sz w:val="25"/>
        </w:rPr>
        <w:t>Ce que cela change, concrètement</w:t>
      </w:r>
    </w:p>
    <w:p>
      <w:pPr>
        <w:spacing w:before="0" w:after="120"/>
      </w:pPr>
      <w:r>
        <w:rPr>
          <w:b w:val="0"/>
          <w:i w:val="0"/>
          <w:sz w:val="21"/>
        </w:rPr>
        <w:t>La question n’est plus « avez-vous réagi ? » mais « que pouvez-vous produire de ce que vous avez fait AVANT ? ». Un programme daté, une feuille d’émargement signée, un support remis, un questionnaire corrigé : ce sont ces pièces qui exonèrent. Une action menée sans trace équivaut, devant le juge, à une action non menée.</w:t>
      </w:r>
    </w:p>
    <w:p>
      <w:pPr>
        <w:spacing w:before="0" w:after="120"/>
      </w:pPr>
      <w:r>
        <w:rPr>
          <w:b w:val="0"/>
          <w:i w:val="0"/>
          <w:sz w:val="21"/>
        </w:rPr>
        <w:t>Enfin, la charge de la preuve est aménagée (article L.1154-1) : le salarié présente des éléments de fait laissant supposer un harcèlement, et il revient ensuite à l’employeur de prouver que ses décisions reposent sur des éléments objectifs étrangers à tout harcèlement. C’est pourquoi le module d’objectivation des décisions, dans l’action 7, n’est pas un supplément : c’est le cœur du dispositif.</w:t>
      </w:r>
    </w:p>
    <w:p>
      <w:r>
        <w:br w:type="page"/>
      </w:r>
    </w:p>
    <w:p>
      <w:pPr>
        <w:spacing w:before="0" w:after="80"/>
      </w:pPr>
      <w:r>
        <w:rPr>
          <w:b/>
          <w:i w:val="0"/>
          <w:color w:val="1F3B57"/>
          <w:sz w:val="32"/>
        </w:rPr>
        <w:t>Les neuf principes de prévention, et l’action qui les met en œuvre</w:t>
      </w:r>
    </w:p>
    <w:p>
      <w:pPr>
        <w:spacing w:after="160"/>
        <w:pBdr>
          <w:bottom w:val="single" w:sz="8" w:color="C9A84C"/>
        </w:pBdr>
      </w:pPr>
    </w:p>
    <w:p>
      <w:pPr>
        <w:spacing w:before="120" w:after="160"/>
      </w:pPr>
      <w:r>
        <w:rPr>
          <w:b w:val="0"/>
          <w:i w:val="0"/>
          <w:sz w:val="21"/>
        </w:rPr>
        <w:t>L’article L.4121-1 pose l’obligation. C’est l’article L.4121-2 qui en donne le contenu : « L’employeur met en œuvre les mesures prévues à l’article L. 4121-1 sur le fondement des principes généraux de prévention suivants ». Chacune des douze actions se rattache à l’un de ces principes. Aucune n’est une idée de consultant.</w:t>
      </w:r>
    </w:p>
    <w:p>
      <w:pPr>
        <w:spacing w:before="160" w:after="120"/>
      </w:pPr>
      <w:r>
        <w:rPr>
          <w:b/>
          <w:i w:val="0"/>
          <w:color w:val="1F3B57"/>
          <w:sz w:val="25"/>
        </w:rPr>
        <w:t>Le texte, mot pour mot</w:t>
      </w:r>
    </w:p>
    <w:tbl>
      <w:tblPr>
        <w:tblStyle w:val="TableGrid"/>
        <w:tblW w:type="auto" w:w="0"/>
        <w:tblLook w:firstColumn="1" w:firstRow="1" w:lastColumn="0" w:lastRow="0" w:noHBand="0" w:noVBand="1" w:val="04A0"/>
      </w:tblPr>
      <w:tblGrid>
        <w:gridCol w:w="454"/>
        <w:gridCol w:w="4195"/>
        <w:gridCol w:w="4706"/>
      </w:tblGrid>
      <w:tr>
        <w:tc>
          <w:tcPr>
            <w:tcW w:type="dxa" w:w="3249"/>
          </w:tcPr>
          <w:p>
            <w:r/>
            <w:r>
              <w:rPr>
                <w:b/>
                <w:sz w:val="18"/>
              </w:rPr>
            </w:r>
          </w:p>
        </w:tc>
        <w:tc>
          <w:tcPr>
            <w:tcW w:type="dxa" w:w="3249"/>
          </w:tcPr>
          <w:p>
            <w:r/>
            <w:r>
              <w:rPr>
                <w:b/>
                <w:sz w:val="18"/>
              </w:rPr>
              <w:t>Le principe (texte du code)</w:t>
            </w:r>
          </w:p>
        </w:tc>
        <w:tc>
          <w:tcPr>
            <w:tcW w:type="dxa" w:w="3249"/>
          </w:tcPr>
          <w:p>
            <w:r/>
            <w:r>
              <w:rPr>
                <w:b/>
                <w:sz w:val="18"/>
              </w:rPr>
              <w:t>L’action qui le met en œuvre</w:t>
            </w:r>
          </w:p>
        </w:tc>
      </w:tr>
      <w:tr>
        <w:tc>
          <w:tcPr>
            <w:tcW w:type="dxa" w:w="3249"/>
          </w:tcPr>
          <w:p>
            <w:r>
              <w:rPr>
                <w:b/>
                <w:color w:val="1F3B57"/>
                <w:sz w:val="19"/>
              </w:rPr>
              <w:t>1°</w:t>
            </w:r>
          </w:p>
        </w:tc>
        <w:tc>
          <w:tcPr>
            <w:tcW w:type="dxa" w:w="3249"/>
          </w:tcPr>
          <w:p>
            <w:r>
              <w:rPr>
                <w:i/>
                <w:sz w:val="18"/>
              </w:rPr>
              <w:t>Éviter les risques.</w:t>
            </w:r>
          </w:p>
        </w:tc>
        <w:tc>
          <w:tcPr>
            <w:tcW w:type="dxa" w:w="3249"/>
          </w:tcPr>
          <w:p>
            <w:r>
              <w:rPr>
                <w:sz w:val="18"/>
              </w:rPr>
              <w:t>Action 3 — poser l’interdit dans le règlement intérieur, avec l’échelle des sanctions. C’est le seul moment où l’entreprise dit, avant tout incident, ce qui est interdit et ce que ça coûte.</w:t>
            </w:r>
          </w:p>
        </w:tc>
      </w:tr>
      <w:tr>
        <w:tc>
          <w:tcPr>
            <w:tcW w:type="dxa" w:w="3249"/>
          </w:tcPr>
          <w:p>
            <w:r>
              <w:rPr>
                <w:b/>
                <w:color w:val="1F3B57"/>
                <w:sz w:val="19"/>
              </w:rPr>
              <w:t>2°</w:t>
            </w:r>
          </w:p>
        </w:tc>
        <w:tc>
          <w:tcPr>
            <w:tcW w:type="dxa" w:w="3249"/>
          </w:tcPr>
          <w:p>
            <w:r>
              <w:rPr>
                <w:i/>
                <w:sz w:val="18"/>
              </w:rPr>
              <w:t>Évaluer les risques qui ne peuvent pas être évités.</w:t>
            </w:r>
          </w:p>
        </w:tc>
        <w:tc>
          <w:tcPr>
            <w:tcW w:type="dxa" w:w="3249"/>
          </w:tcPr>
          <w:p>
            <w:r>
              <w:rPr>
                <w:sz w:val="18"/>
              </w:rPr>
              <w:t>Actions 1 et 11 — le document unique évalue, le registre des signalements alimente l’évaluation. L’un sans l’autre laisse l’évaluation figée.</w:t>
            </w:r>
          </w:p>
        </w:tc>
      </w:tr>
      <w:tr>
        <w:tc>
          <w:tcPr>
            <w:tcW w:type="dxa" w:w="3249"/>
          </w:tcPr>
          <w:p>
            <w:r>
              <w:rPr>
                <w:b/>
                <w:color w:val="1F3B57"/>
                <w:sz w:val="19"/>
              </w:rPr>
              <w:t>3°</w:t>
            </w:r>
          </w:p>
        </w:tc>
        <w:tc>
          <w:tcPr>
            <w:tcW w:type="dxa" w:w="3249"/>
          </w:tcPr>
          <w:p>
            <w:r>
              <w:rPr>
                <w:i/>
                <w:sz w:val="18"/>
              </w:rPr>
              <w:t>Combattre les risques à la source.</w:t>
            </w:r>
          </w:p>
        </w:tc>
        <w:tc>
          <w:tcPr>
            <w:tcW w:type="dxa" w:w="3249"/>
          </w:tcPr>
          <w:p>
            <w:r>
              <w:rPr>
                <w:sz w:val="18"/>
              </w:rPr>
              <w:t>Actions 5 et 12 — un référent identifié qui reçoit tôt, et un protocole qui agit sur l’organisation, pas seulement sur la personne qui s’est plainte.</w:t>
            </w:r>
          </w:p>
        </w:tc>
      </w:tr>
      <w:tr>
        <w:tc>
          <w:tcPr>
            <w:tcW w:type="dxa" w:w="3249"/>
          </w:tcPr>
          <w:p>
            <w:r>
              <w:rPr>
                <w:b/>
                <w:color w:val="1F3B57"/>
                <w:sz w:val="19"/>
              </w:rPr>
              <w:t>4°</w:t>
            </w:r>
          </w:p>
        </w:tc>
        <w:tc>
          <w:tcPr>
            <w:tcW w:type="dxa" w:w="3249"/>
          </w:tcPr>
          <w:p>
            <w:r>
              <w:rPr>
                <w:i/>
                <w:sz w:val="18"/>
              </w:rPr>
              <w:t>Adapter le travail à l’homme, en particulier en ce qui concerne la conception des postes de travail ainsi que le choix des équipements de travail et des méthodes de travail et de production, en vue notamment de limiter le travail monotone et le travail cadencé et de réduire les effets de ceux-ci sur la santé.</w:t>
            </w:r>
          </w:p>
        </w:tc>
        <w:tc>
          <w:tcPr>
            <w:tcW w:type="dxa" w:w="3249"/>
          </w:tcPr>
          <w:p>
            <w:r>
              <w:rPr>
                <w:sz w:val="18"/>
              </w:rPr>
              <w:t>Action 1 — les mesures décidées portent sur les méthodes de travail : objectifs, cadences, classements affichés, charge. C’est là que le harcèlement managérial se prévient, pas dans une note de rappel.</w:t>
            </w:r>
          </w:p>
        </w:tc>
      </w:tr>
      <w:tr>
        <w:tc>
          <w:tcPr>
            <w:tcW w:type="dxa" w:w="3249"/>
          </w:tcPr>
          <w:p>
            <w:r>
              <w:rPr>
                <w:b/>
                <w:color w:val="1F3B57"/>
                <w:sz w:val="19"/>
              </w:rPr>
              <w:t>5°</w:t>
            </w:r>
          </w:p>
        </w:tc>
        <w:tc>
          <w:tcPr>
            <w:tcW w:type="dxa" w:w="3249"/>
          </w:tcPr>
          <w:p>
            <w:r>
              <w:rPr>
                <w:i/>
                <w:sz w:val="18"/>
              </w:rPr>
              <w:t>Tenir compte de l’état d’évolution de la technique.</w:t>
            </w:r>
          </w:p>
        </w:tc>
        <w:tc>
          <w:tcPr>
            <w:tcW w:type="dxa" w:w="3249"/>
          </w:tcPr>
          <w:p>
            <w:r>
              <w:rPr>
                <w:sz w:val="18"/>
              </w:rPr>
              <w:t>Application limitée ici, et il faut le dire : outils de signalement, messageries, réunions à distance, hyperconnexion. Ce principe ne porte pas le dispositif — le rattacher de force à une action serait de la construction.</w:t>
            </w:r>
          </w:p>
        </w:tc>
      </w:tr>
      <w:tr>
        <w:tc>
          <w:tcPr>
            <w:tcW w:type="dxa" w:w="3249"/>
          </w:tcPr>
          <w:p>
            <w:r>
              <w:rPr>
                <w:b/>
                <w:color w:val="1F3B57"/>
                <w:sz w:val="19"/>
              </w:rPr>
              <w:t>6°</w:t>
            </w:r>
          </w:p>
        </w:tc>
        <w:tc>
          <w:tcPr>
            <w:tcW w:type="dxa" w:w="3249"/>
          </w:tcPr>
          <w:p>
            <w:r>
              <w:rPr>
                <w:i/>
                <w:sz w:val="18"/>
              </w:rPr>
              <w:t>Remplacer ce qui est dangereux par ce qui n’est pas dangereux ou par ce qui est moins dangereux.</w:t>
            </w:r>
          </w:p>
        </w:tc>
        <w:tc>
          <w:tcPr>
            <w:tcW w:type="dxa" w:w="3249"/>
          </w:tcPr>
          <w:p>
            <w:r>
              <w:rPr>
                <w:sz w:val="18"/>
              </w:rPr>
              <w:t>Action 12 — les mesures conservatoires. On retire la situation dangereuse, on ne sanctionne pas encore. Et l’on ne déplace jamais la victime : ce serait remplacer un danger par un autre.</w:t>
            </w:r>
          </w:p>
        </w:tc>
      </w:tr>
      <w:tr>
        <w:tc>
          <w:tcPr>
            <w:tcW w:type="dxa" w:w="3249"/>
          </w:tcPr>
          <w:p>
            <w:r>
              <w:rPr>
                <w:b/>
                <w:color w:val="1F3B57"/>
                <w:sz w:val="19"/>
              </w:rPr>
              <w:t>7°</w:t>
            </w:r>
          </w:p>
        </w:tc>
        <w:tc>
          <w:tcPr>
            <w:tcW w:type="dxa" w:w="3249"/>
          </w:tcPr>
          <w:p>
            <w:r>
              <w:rPr>
                <w:i/>
                <w:sz w:val="18"/>
              </w:rPr>
              <w:t>Planifier la prévention en y intégrant, dans un ensemble cohérent, la technique, l’organisation du travail, les conditions de travail, les relations sociales et l’influence des facteurs ambiants, notamment les risques liés au harcèlement moral et au harcèlement sexuel, tels qu’ils sont définis aux articles L. 1152-1 et L. 1153-1, ainsi que ceux liés aux agissements sexistes définis à l’article L. 1142-2-1.</w:t>
            </w:r>
          </w:p>
        </w:tc>
        <w:tc>
          <w:tcPr>
            <w:tcW w:type="dxa" w:w="3249"/>
          </w:tcPr>
          <w:p>
            <w:r>
              <w:rPr>
                <w:sz w:val="18"/>
              </w:rPr>
              <w:t>LE principe. C’est le seul du code qui nomme le harcèlement. Il porte les actions 1, 4, 6 et 11 — et le mot « planifier » est ce qui rend le calendrier de fin de dossier obligatoire, pas facultatif.</w:t>
            </w:r>
          </w:p>
        </w:tc>
      </w:tr>
      <w:tr>
        <w:tc>
          <w:tcPr>
            <w:tcW w:type="dxa" w:w="3249"/>
          </w:tcPr>
          <w:p>
            <w:r>
              <w:rPr>
                <w:b/>
                <w:color w:val="1F3B57"/>
                <w:sz w:val="19"/>
              </w:rPr>
              <w:t>8°</w:t>
            </w:r>
          </w:p>
        </w:tc>
        <w:tc>
          <w:tcPr>
            <w:tcW w:type="dxa" w:w="3249"/>
          </w:tcPr>
          <w:p>
            <w:r>
              <w:rPr>
                <w:i/>
                <w:sz w:val="18"/>
              </w:rPr>
              <w:t>Prendre des mesures de protection collective en leur donnant la priorité sur les mesures de protection individuelle.</w:t>
            </w:r>
          </w:p>
        </w:tc>
        <w:tc>
          <w:tcPr>
            <w:tcW w:type="dxa" w:w="3249"/>
          </w:tcPr>
          <w:p>
            <w:r>
              <w:rPr>
                <w:sz w:val="18"/>
              </w:rPr>
              <w:t>Actions 6 et 9 — une procédure qui vaut pour tous et une information de tout le personnel, avant tout traitement au cas par cas. Traiter les dossiers un par un sans dispositif collectif, c’est prendre le principe à l’envers.</w:t>
            </w:r>
          </w:p>
        </w:tc>
      </w:tr>
      <w:tr>
        <w:tc>
          <w:tcPr>
            <w:tcW w:type="dxa" w:w="3249"/>
          </w:tcPr>
          <w:p>
            <w:r>
              <w:rPr>
                <w:b/>
                <w:color w:val="1F3B57"/>
                <w:sz w:val="19"/>
              </w:rPr>
              <w:t>9°</w:t>
            </w:r>
          </w:p>
        </w:tc>
        <w:tc>
          <w:tcPr>
            <w:tcW w:type="dxa" w:w="3249"/>
          </w:tcPr>
          <w:p>
            <w:r>
              <w:rPr>
                <w:i/>
                <w:sz w:val="18"/>
              </w:rPr>
              <w:t>Donner les instructions appropriées aux travailleurs.</w:t>
            </w:r>
          </w:p>
        </w:tc>
        <w:tc>
          <w:tcPr>
            <w:tcW w:type="dxa" w:w="3249"/>
          </w:tcPr>
          <w:p>
            <w:r>
              <w:rPr>
                <w:sz w:val="18"/>
              </w:rPr>
              <w:t>Actions 2, 7, 8 et 10 — l’affichage, les deux formations et l’information à l’embauche. C’est le principe le plus cité par les juges : ce sont les « actions d’information et de formation » que la Cour de cassation exige.</w:t>
            </w:r>
          </w:p>
        </w:tc>
      </w:tr>
    </w:tbl>
    <w:p>
      <w:pPr>
        <w:spacing w:before="240" w:after="100"/>
      </w:pPr>
      <w:r>
        <w:rPr>
          <w:b/>
          <w:i w:val="0"/>
          <w:sz w:val="21"/>
        </w:rPr>
        <w:t>Deux remarques que nous préférons écrire plutôt que laisser découvrir.</w:t>
      </w:r>
    </w:p>
    <w:p>
      <w:pPr>
        <w:spacing w:before="0" w:after="100"/>
      </w:pPr>
      <w:r>
        <w:rPr>
          <w:b w:val="0"/>
          <w:i w:val="0"/>
          <w:sz w:val="21"/>
        </w:rPr>
        <w:t>Le 5° n’a pas d’application propre au harcèlement. Nous ne lui avons rattaché aucune action : il vaut mieux un principe sans action qu’une action inventée pour remplir une case.</w:t>
      </w:r>
    </w:p>
    <w:p>
      <w:pPr>
        <w:spacing w:before="0" w:after="100"/>
      </w:pPr>
      <w:r>
        <w:rPr>
          <w:b w:val="0"/>
          <w:i w:val="0"/>
          <w:sz w:val="21"/>
        </w:rPr>
        <w:t>Et le nombre douze n’est pas dans la loi. Les neuf principes, eux, y sont : ce sont eux le fondement. Les douze actions sont la manière dont nous les rendons exécutables et prouvables dans une entreprise. Un autre découpage serait possible ; celui-ci a l’avantage que chaque action produit une pièce.</w:t>
      </w:r>
    </w:p>
    <w:p>
      <w:r>
        <w:br w:type="page"/>
      </w:r>
    </w:p>
    <w:p>
      <w:pPr>
        <w:spacing w:before="0" w:after="80"/>
      </w:pPr>
      <w:r>
        <w:rPr>
          <w:b/>
          <w:i w:val="0"/>
          <w:color w:val="1F3B57"/>
          <w:sz w:val="32"/>
        </w:rPr>
        <w:t>Action 1 — Inscrire le risque au document unique</w:t>
      </w:r>
    </w:p>
    <w:p>
      <w:pPr>
        <w:spacing w:after="160"/>
        <w:pBdr>
          <w:bottom w:val="single" w:sz="8" w:color="C9A84C"/>
        </w:pBdr>
      </w:pPr>
    </w:p>
    <w:p>
      <w:pPr>
        <w:spacing w:before="0" w:after="60"/>
      </w:pPr>
      <w:r>
        <w:rPr>
          <w:b w:val="0"/>
          <w:i/>
          <w:color w:val="A0842E"/>
          <w:sz w:val="20"/>
        </w:rPr>
        <w:t>Articles L.4121-3, L.4121-3-1, R.4121-1, R.4121-2 et R.4121-4</w:t>
      </w:r>
    </w:p>
    <w:p>
      <w:pPr>
        <w:spacing w:before="0" w:after="160"/>
      </w:pPr>
      <w:r>
        <w:rPr>
          <w:b/>
          <w:i w:val="0"/>
          <w:color w:val="1F3B57"/>
          <w:sz w:val="20"/>
        </w:rPr>
        <w:t>Met en œuvre : L.4121-2, 2° — évaluer les risques qui ne peuvent pas être évités ; et 7° — planifier la prévention en y intégrant les risques liés au harcèlement.</w:t>
      </w:r>
    </w:p>
    <w:p>
      <w:pPr>
        <w:spacing w:before="0" w:after="100"/>
      </w:pPr>
      <w:r>
        <w:rPr>
          <w:b w:val="0"/>
          <w:i w:val="0"/>
          <w:sz w:val="21"/>
        </w:rPr>
        <w:t>Le harcèlement n’est pas un incident relationnel : c’est un risque professionnel, au même titre que le bruit ou la manutention. Il s’évalue unité de travail par unité de travail, et il s’écrit.</w:t>
      </w:r>
    </w:p>
    <w:p>
      <w:pPr>
        <w:spacing w:before="240" w:after="80"/>
      </w:pPr>
      <w:r>
        <w:rPr>
          <w:b/>
          <w:i w:val="0"/>
          <w:color w:val="1F3B57"/>
          <w:sz w:val="25"/>
        </w:rPr>
        <w:t>Ce que le code exige — et ce qu’il n’exige pas</w:t>
      </w:r>
    </w:p>
    <w:p>
      <w:pPr>
        <w:spacing w:before="0" w:after="100"/>
      </w:pPr>
      <w:r>
        <w:rPr>
          <w:b w:val="0"/>
          <w:i w:val="0"/>
          <w:sz w:val="21"/>
        </w:rPr>
        <w:t>L’article R.4121-1 impose de transcrire dans un document unique « les résultats de l’évaluation des risques pour la santé et la sécurité des travailleurs », évaluation qui comporte un inventaire des risques identifiés dans chaque unité de travail.</w:t>
      </w:r>
    </w:p>
    <w:p>
      <w:pPr>
        <w:spacing w:before="0" w:after="100"/>
      </w:pPr>
      <w:r>
        <w:rPr>
          <w:b w:val="0"/>
          <w:i w:val="0"/>
          <w:sz w:val="21"/>
        </w:rPr>
        <w:t>L’article L.4121-3-1 ajoute ce que les résultats doivent produire : dans les entreprises d’au moins cinquante salariés, un programme annuel de prévention des risques professionnels et d’amélioration des conditions de travail, qui fixe la liste détaillée des mesures à prendre dans l’année, et pour chacune ses conditions d’exécution, un indicateur de résultat et une estimation de son coût. Dans les entreprises de moins de cinquante salariés, une liste d’actions, intégrée au document unique lui-même. Le document et ses mises à jour se conservent quarante ans.</w:t>
      </w:r>
    </w:p>
    <w:p>
      <w:pPr>
        <w:spacing w:before="0" w:after="100"/>
      </w:pPr>
      <w:r>
        <w:rPr>
          <w:b/>
          <w:i w:val="0"/>
          <w:sz w:val="21"/>
        </w:rPr>
        <w:t>Ce que le code n’impose pas : aucune trame, aucune grille de cotation, aucun logiciel. La gravité sur quatre niveaux utilisée dans l’exemple ci-dessous est une convention répandue, pas une règle. Ce qui est exigé, c’est que le risque soit identifié par unité de travail et que des mesures en découlent.</w:t>
      </w:r>
    </w:p>
    <w:p>
      <w:pPr>
        <w:spacing w:before="280" w:after="80"/>
      </w:pPr>
      <w:r>
        <w:rPr>
          <w:b/>
          <w:i w:val="0"/>
          <w:color w:val="1F3B57"/>
          <w:sz w:val="25"/>
        </w:rPr>
        <w:t>1. Découper l’entreprise en unités de travail</w:t>
      </w:r>
    </w:p>
    <w:p>
      <w:pPr>
        <w:spacing w:before="0" w:after="100"/>
      </w:pPr>
      <w:r>
        <w:rPr>
          <w:b w:val="0"/>
          <w:i w:val="0"/>
          <w:sz w:val="21"/>
        </w:rPr>
        <w:t>Une unité de travail n’est pas forcément un service de l’organigramme : c’est un groupe de salariés exposés aux mêmes conditions. Un même intitulé de poste peut relever de deux unités différentes selon le site ou l’équipe.</w:t>
      </w:r>
    </w:p>
    <w:p>
      <w:pPr>
        <w:spacing w:before="0" w:after="80"/>
      </w:pPr>
      <w:r>
        <w:rPr>
          <w:b w:val="0"/>
          <w:i w:val="0"/>
          <w:sz w:val="21"/>
        </w:rPr>
        <w:t>Pour le risque de harcèlement, à examiner en priorité :</w:t>
      </w:r>
    </w:p>
    <w:p>
      <w:pPr>
        <w:pStyle w:val="ListBullet"/>
        <w:spacing w:after="40"/>
      </w:pPr>
      <w:r>
        <w:rPr>
          <w:sz w:val="20"/>
        </w:rPr>
        <w:t>Les équipes où le travail est isolé, ou en horaires décalés.</w:t>
      </w:r>
    </w:p>
    <w:p>
      <w:pPr>
        <w:pStyle w:val="ListBullet"/>
        <w:spacing w:after="40"/>
      </w:pPr>
      <w:r>
        <w:rPr>
          <w:sz w:val="20"/>
        </w:rPr>
        <w:t>Celles exposées à une forte pression sur les résultats, ou à des objectifs individuels affichés.</w:t>
      </w:r>
    </w:p>
    <w:p>
      <w:pPr>
        <w:pStyle w:val="ListBullet"/>
        <w:spacing w:after="40"/>
      </w:pPr>
      <w:r>
        <w:rPr>
          <w:sz w:val="20"/>
        </w:rPr>
        <w:t>Celles en réorganisation, en sous-effectif, ou dont l’encadrement vient d’être nommé.</w:t>
      </w:r>
    </w:p>
    <w:p>
      <w:pPr>
        <w:pStyle w:val="ListBullet"/>
        <w:spacing w:after="40"/>
      </w:pPr>
      <w:r>
        <w:rPr>
          <w:sz w:val="20"/>
        </w:rPr>
        <w:t>Celles où une plainte, un arrêt long, une inaptitude ou un départ conflictuel est déjà survenu.</w:t>
      </w:r>
    </w:p>
    <w:p>
      <w:pPr>
        <w:pStyle w:val="ListBullet"/>
        <w:spacing w:after="40"/>
      </w:pPr>
      <w:r>
        <w:rPr>
          <w:sz w:val="20"/>
        </w:rPr>
        <w:t>Celles dont le travail expose à des tiers : clients, patients, usagers, sous-traitants.</w:t>
      </w:r>
    </w:p>
    <w:p>
      <w:pPr>
        <w:spacing w:before="280" w:after="80"/>
      </w:pPr>
      <w:r>
        <w:rPr>
          <w:b/>
          <w:i w:val="0"/>
          <w:color w:val="1F3B57"/>
          <w:sz w:val="25"/>
        </w:rPr>
        <w:t>2. Nommer le risque, dans les mots du document unique</w:t>
      </w:r>
    </w:p>
    <w:p>
      <w:pPr>
        <w:spacing w:before="0" w:after="100"/>
      </w:pPr>
      <w:r>
        <w:rPr>
          <w:b w:val="0"/>
          <w:i w:val="0"/>
          <w:sz w:val="21"/>
        </w:rPr>
        <w:t>Écrire « ambiance tendue » ou « conflit interpersonnel » ne vaut rien : ce n’est pas un risque, c’est un commentaire. Le risque se nomme comme un danger, avec son effet possible.</w:t>
      </w:r>
    </w:p>
    <w:p>
      <w:pPr>
        <w:spacing w:before="0" w:after="100"/>
      </w:pPr>
      <w:r>
        <w:rPr>
          <w:b/>
          <w:i w:val="0"/>
          <w:sz w:val="21"/>
        </w:rPr>
        <w:t>Formulation à reprendre : « Risque d’atteinte à la santé mentale lié aux rapports sociaux de travail — harcèlement moral, harcèlement sexuel, agissements sexistes ». Ce libellé reprend le vocabulaire de l’article L.4121-2, 7°, qui vise expressément ces trois risques.</w:t>
      </w:r>
    </w:p>
    <w:p>
      <w:pPr>
        <w:spacing w:before="280" w:after="80"/>
      </w:pPr>
      <w:r>
        <w:rPr>
          <w:b/>
          <w:i w:val="0"/>
          <w:color w:val="1F3B57"/>
          <w:sz w:val="25"/>
        </w:rPr>
        <w:t>3. Ce qu’on écrit, ligne par ligne</w:t>
      </w:r>
    </w:p>
    <w:p>
      <w:pPr>
        <w:spacing w:before="0" w:after="100"/>
      </w:pPr>
      <w:r>
        <w:rPr>
          <w:b w:val="0"/>
          <w:i w:val="0"/>
          <w:sz w:val="21"/>
        </w:rPr>
        <w:t>Une ligne du document unique se remplit dans cet ordre. Aucune de ces rubriques n’est imposée par le code, mais l’absence de l’une d’elles est ce qu’un inspecteur, un expert ou un juge relève en premier.</w:t>
      </w:r>
    </w:p>
    <w:p>
      <w:pPr>
        <w:pStyle w:val="ListBullet"/>
        <w:spacing w:after="40"/>
      </w:pPr>
      <w:r>
        <w:rPr>
          <w:sz w:val="20"/>
        </w:rPr>
        <w:t>L’unité de travail, nommée, avec son effectif et son site.</w:t>
      </w:r>
    </w:p>
    <w:p>
      <w:pPr>
        <w:pStyle w:val="ListBullet"/>
        <w:spacing w:after="40"/>
      </w:pPr>
      <w:r>
        <w:rPr>
          <w:sz w:val="20"/>
        </w:rPr>
        <w:t>Le risque, dans les mots du 2 ci-dessus.</w:t>
      </w:r>
    </w:p>
    <w:p>
      <w:pPr>
        <w:pStyle w:val="ListBullet"/>
        <w:spacing w:after="40"/>
      </w:pPr>
      <w:r>
        <w:rPr>
          <w:sz w:val="20"/>
        </w:rPr>
        <w:t>La situation dangereuse : ce qui se passe réellement, décrit en faits observables. C’est la rubrique que tout le monde bâcle, et la seule qui prouve que l’évaluation a eu lieu.</w:t>
      </w:r>
    </w:p>
    <w:p>
      <w:pPr>
        <w:pStyle w:val="ListBullet"/>
        <w:spacing w:after="40"/>
      </w:pPr>
      <w:r>
        <w:rPr>
          <w:sz w:val="20"/>
        </w:rPr>
        <w:t>La population exposée : combien, et qui — y compris les contrats courts et les intérimaires.</w:t>
      </w:r>
    </w:p>
    <w:p>
      <w:pPr>
        <w:pStyle w:val="ListBullet"/>
        <w:spacing w:after="40"/>
      </w:pPr>
      <w:r>
        <w:rPr>
          <w:sz w:val="20"/>
        </w:rPr>
        <w:t>Les mesures déjà en place, avec leur date.</w:t>
      </w:r>
    </w:p>
    <w:p>
      <w:pPr>
        <w:pStyle w:val="ListBullet"/>
        <w:spacing w:after="40"/>
      </w:pPr>
      <w:r>
        <w:rPr>
          <w:sz w:val="20"/>
        </w:rPr>
        <w:t>La gravité et la fréquence, selon l’échelle que vous aurez retenue et écrite une fois pour toutes en tête de document.</w:t>
      </w:r>
    </w:p>
    <w:p>
      <w:pPr>
        <w:pStyle w:val="ListBullet"/>
        <w:spacing w:after="40"/>
      </w:pPr>
      <w:r>
        <w:rPr>
          <w:sz w:val="20"/>
        </w:rPr>
        <w:t>Le niveau de priorité qui en résulte.</w:t>
      </w:r>
    </w:p>
    <w:p>
      <w:pPr>
        <w:pStyle w:val="ListBullet"/>
        <w:spacing w:after="40"/>
      </w:pPr>
      <w:r>
        <w:rPr>
          <w:sz w:val="20"/>
        </w:rPr>
        <w:t>Les mesures décidées, un responsable nommé, une échéance datée.</w:t>
      </w:r>
    </w:p>
    <w:p>
      <w:pPr>
        <w:pStyle w:val="ListBullet"/>
        <w:spacing w:after="40"/>
      </w:pPr>
      <w:r>
        <w:rPr>
          <w:sz w:val="20"/>
        </w:rPr>
        <w:t>L’indicateur qui dira si la mesure a produit un effet, et le coût estimé (obligatoire à partir de cinquante salariés, article L.4121-3-1).</w:t>
      </w:r>
    </w:p>
    <w:p>
      <w:pPr>
        <w:spacing w:before="0" w:after="100"/>
      </w:pPr>
      <w:r>
        <w:rPr>
          <w:b/>
          <w:i w:val="0"/>
          <w:sz w:val="21"/>
        </w:rPr>
        <w:t>Une cotation sans mesure décidée ne sert à rien : elle établit que l’employeur connaissait le risque et n’a rien fait. C’est la seule manière de transformer le document unique en pièce à charge.</w:t>
      </w:r>
    </w:p>
    <w:p>
      <w:pPr>
        <w:spacing w:before="280" w:after="80"/>
      </w:pPr>
      <w:r>
        <w:rPr>
          <w:b/>
          <w:i w:val="0"/>
          <w:color w:val="1F3B57"/>
          <w:sz w:val="25"/>
        </w:rPr>
        <w:t>4. Exemple rempli — plateau de recouvrement, 18 salariés</w:t>
      </w:r>
    </w:p>
    <w:p>
      <w:pPr>
        <w:spacing w:before="0" w:after="120"/>
      </w:pPr>
      <w:r>
        <w:rPr>
          <w:b w:val="0"/>
          <w:i/>
          <w:color w:val="B23B3B"/>
          <w:sz w:val="19"/>
        </w:rPr>
        <w:t>Exemple pédagogique. L’entreprise, les faits et les chiffres sont fictifs. Il montre le niveau de précision attendu : il ne se recopie pas. Un document unique recopié d’un modèle est un document unique non fait.</w:t>
      </w:r>
    </w:p>
    <w:tbl>
      <w:tblPr>
        <w:tblStyle w:val="TableGrid"/>
        <w:tblW w:type="auto" w:w="0"/>
        <w:tblLook w:firstColumn="1" w:firstRow="1" w:lastColumn="0" w:lastRow="0" w:noHBand="0" w:noVBand="1" w:val="04A0"/>
      </w:tblPr>
      <w:tblGrid>
        <w:gridCol w:w="2381"/>
        <w:gridCol w:w="6803"/>
      </w:tblGrid>
      <w:tr>
        <w:tc>
          <w:tcPr>
            <w:tcW w:type="dxa" w:w="4873"/>
          </w:tcPr>
          <w:p>
            <w:r>
              <w:rPr>
                <w:b/>
                <w:sz w:val="18"/>
              </w:rPr>
              <w:t>Unité de travail</w:t>
            </w:r>
          </w:p>
        </w:tc>
        <w:tc>
          <w:tcPr>
            <w:tcW w:type="dxa" w:w="4873"/>
          </w:tcPr>
          <w:p>
            <w:r>
              <w:rPr>
                <w:b w:val="0"/>
                <w:sz w:val="18"/>
              </w:rPr>
              <w:t>Plateau « recouvrement amiable » — site de Lyon — 18 salariés : 14 chargés de recouvrement (dont 6 en CDD), 3 superviseurs, 1 responsable de plateau.</w:t>
            </w:r>
          </w:p>
        </w:tc>
      </w:tr>
      <w:tr>
        <w:tc>
          <w:tcPr>
            <w:tcW w:type="dxa" w:w="4873"/>
          </w:tcPr>
          <w:p>
            <w:r>
              <w:rPr>
                <w:b/>
                <w:sz w:val="18"/>
              </w:rPr>
              <w:t>Risque identifié</w:t>
            </w:r>
          </w:p>
        </w:tc>
        <w:tc>
          <w:tcPr>
            <w:tcW w:type="dxa" w:w="4873"/>
          </w:tcPr>
          <w:p>
            <w:r>
              <w:rPr>
                <w:b w:val="0"/>
                <w:sz w:val="18"/>
              </w:rPr>
              <w:t>Risque d’atteinte à la santé mentale lié aux rapports sociaux de travail — harcèlement moral (L.4121-2, 7°).</w:t>
            </w:r>
          </w:p>
        </w:tc>
      </w:tr>
      <w:tr>
        <w:tc>
          <w:tcPr>
            <w:tcW w:type="dxa" w:w="4873"/>
          </w:tcPr>
          <w:p>
            <w:r>
              <w:rPr>
                <w:b/>
                <w:sz w:val="18"/>
              </w:rPr>
              <w:t>Situation dangereuse</w:t>
              <w:br/>
            </w:r>
            <w:r>
              <w:rPr>
                <w:b/>
                <w:sz w:val="18"/>
              </w:rPr>
              <w:t>(faits observables)</w:t>
            </w:r>
          </w:p>
        </w:tc>
        <w:tc>
          <w:tcPr>
            <w:tcW w:type="dxa" w:w="4873"/>
          </w:tcPr>
          <w:p>
            <w:r>
              <w:rPr>
                <w:b w:val="0"/>
                <w:sz w:val="18"/>
              </w:rPr>
              <w:t>Affichage nominatif quotidien du classement des chargés de recouvrement sur l’écran commun du plateau. Entretiens de recadrage tenus en espace ouvert, à portée de voix de l’équipe. Objectifs individuels relevés trois fois en six mois sans révision de l’effectif. Deux départs non remplacés depuis mars. Encadrement du plateau nommé en janvier, sans formation.</w:t>
            </w:r>
          </w:p>
        </w:tc>
      </w:tr>
      <w:tr>
        <w:tc>
          <w:tcPr>
            <w:tcW w:type="dxa" w:w="4873"/>
          </w:tcPr>
          <w:p>
            <w:r>
              <w:rPr>
                <w:b/>
                <w:sz w:val="18"/>
              </w:rPr>
              <w:t>Population exposée</w:t>
            </w:r>
          </w:p>
        </w:tc>
        <w:tc>
          <w:tcPr>
            <w:tcW w:type="dxa" w:w="4873"/>
          </w:tcPr>
          <w:p>
            <w:r>
              <w:rPr>
                <w:b w:val="0"/>
                <w:sz w:val="18"/>
              </w:rPr>
              <w:t>14 chargés de recouvrement, dont 6 en CDD et 2 intérimaires. Les 3 superviseurs sont exposés à double titre : comme cibles et comme auteurs possibles.</w:t>
            </w:r>
          </w:p>
        </w:tc>
      </w:tr>
      <w:tr>
        <w:tc>
          <w:tcPr>
            <w:tcW w:type="dxa" w:w="4873"/>
          </w:tcPr>
          <w:p>
            <w:r>
              <w:rPr>
                <w:b/>
                <w:sz w:val="18"/>
              </w:rPr>
              <w:t>Mesures déjà en place</w:t>
            </w:r>
          </w:p>
        </w:tc>
        <w:tc>
          <w:tcPr>
            <w:tcW w:type="dxa" w:w="4873"/>
          </w:tcPr>
          <w:p>
            <w:r>
              <w:rPr>
                <w:b w:val="0"/>
                <w:sz w:val="18"/>
              </w:rPr>
              <w:t>Affichage L.1152-4 à jour (photographié le 14 mai). Référent du comité désigné (PV du 12 février). Procédure de signalement diffusée le 3 mars, accusé de lecture pour 16 salariés sur 18.</w:t>
            </w:r>
          </w:p>
        </w:tc>
      </w:tr>
      <w:tr>
        <w:tc>
          <w:tcPr>
            <w:tcW w:type="dxa" w:w="4873"/>
          </w:tcPr>
          <w:p>
            <w:r>
              <w:rPr>
                <w:b/>
                <w:sz w:val="18"/>
              </w:rPr>
              <w:t>Gravité</w:t>
            </w:r>
          </w:p>
        </w:tc>
        <w:tc>
          <w:tcPr>
            <w:tcW w:type="dxa" w:w="4873"/>
          </w:tcPr>
          <w:p>
            <w:r>
              <w:rPr>
                <w:b w:val="0"/>
                <w:sz w:val="18"/>
              </w:rPr>
              <w:t>3 sur 4 — atteinte possible à la santé mentale, arrêt de travail envisageable.</w:t>
            </w:r>
          </w:p>
        </w:tc>
      </w:tr>
      <w:tr>
        <w:tc>
          <w:tcPr>
            <w:tcW w:type="dxa" w:w="4873"/>
          </w:tcPr>
          <w:p>
            <w:r>
              <w:rPr>
                <w:b/>
                <w:sz w:val="18"/>
              </w:rPr>
              <w:t>Fréquence d’exposition</w:t>
            </w:r>
          </w:p>
        </w:tc>
        <w:tc>
          <w:tcPr>
            <w:tcW w:type="dxa" w:w="4873"/>
          </w:tcPr>
          <w:p>
            <w:r>
              <w:rPr>
                <w:b w:val="0"/>
                <w:sz w:val="18"/>
              </w:rPr>
              <w:t>4 sur 4 — quotidienne.</w:t>
            </w:r>
          </w:p>
        </w:tc>
      </w:tr>
      <w:tr>
        <w:tc>
          <w:tcPr>
            <w:tcW w:type="dxa" w:w="4873"/>
          </w:tcPr>
          <w:p>
            <w:r>
              <w:rPr>
                <w:b/>
                <w:sz w:val="18"/>
              </w:rPr>
              <w:t>Priorité</w:t>
            </w:r>
          </w:p>
        </w:tc>
        <w:tc>
          <w:tcPr>
            <w:tcW w:type="dxa" w:w="4873"/>
          </w:tcPr>
          <w:p>
            <w:r>
              <w:rPr>
                <w:b w:val="0"/>
                <w:sz w:val="18"/>
              </w:rPr>
              <w:t>P1 — à traiter dans les trois mois.</w:t>
            </w:r>
          </w:p>
        </w:tc>
      </w:tr>
      <w:tr>
        <w:tc>
          <w:tcPr>
            <w:tcW w:type="dxa" w:w="4873"/>
          </w:tcPr>
          <w:p>
            <w:r>
              <w:rPr>
                <w:b/>
                <w:sz w:val="18"/>
              </w:rPr>
              <w:t>Mesures décidées</w:t>
            </w:r>
          </w:p>
        </w:tc>
        <w:tc>
          <w:tcPr>
            <w:tcW w:type="dxa" w:w="4873"/>
          </w:tcPr>
          <w:p>
            <w:r>
              <w:rPr>
                <w:b w:val="0"/>
                <w:sz w:val="18"/>
              </w:rPr>
              <w:t>1. Suppression de l’affichage nominatif des classements, remplacé par un indicateur collectif hebdomadaire.</w:t>
              <w:br/>
            </w:r>
            <w:r>
              <w:rPr>
                <w:b w:val="0"/>
                <w:sz w:val="18"/>
              </w:rPr>
              <w:t>2. Entretiens individuels tenus en salle fermée, sans exception.</w:t>
              <w:br/>
            </w:r>
            <w:r>
              <w:rPr>
                <w:b w:val="0"/>
                <w:sz w:val="18"/>
              </w:rPr>
              <w:t>3. Formation des 4 encadrants du plateau (action 7 du présent dossier).</w:t>
              <w:br/>
            </w:r>
            <w:r>
              <w:rPr>
                <w:b w:val="0"/>
                <w:sz w:val="18"/>
              </w:rPr>
              <w:t>4. Retour à l’effectif cible : 2 recrutements ouverts.</w:t>
              <w:br/>
            </w:r>
            <w:r>
              <w:rPr>
                <w:b w:val="0"/>
                <w:sz w:val="18"/>
              </w:rPr>
              <w:t>5. Point mensuel du responsable de site sur la charge et les objectifs, tracé par écrit.</w:t>
            </w:r>
          </w:p>
        </w:tc>
      </w:tr>
      <w:tr>
        <w:tc>
          <w:tcPr>
            <w:tcW w:type="dxa" w:w="4873"/>
          </w:tcPr>
          <w:p>
            <w:r>
              <w:rPr>
                <w:b/>
                <w:sz w:val="18"/>
              </w:rPr>
              <w:t>Responsable</w:t>
            </w:r>
          </w:p>
        </w:tc>
        <w:tc>
          <w:tcPr>
            <w:tcW w:type="dxa" w:w="4873"/>
          </w:tcPr>
          <w:p>
            <w:r>
              <w:rPr>
                <w:b w:val="0"/>
                <w:sz w:val="18"/>
              </w:rPr>
              <w:t>Directeur du site de Lyon, nommément désigné.</w:t>
            </w:r>
          </w:p>
        </w:tc>
      </w:tr>
      <w:tr>
        <w:tc>
          <w:tcPr>
            <w:tcW w:type="dxa" w:w="4873"/>
          </w:tcPr>
          <w:p>
            <w:r>
              <w:rPr>
                <w:b/>
                <w:sz w:val="18"/>
              </w:rPr>
              <w:t>Échéance</w:t>
            </w:r>
          </w:p>
        </w:tc>
        <w:tc>
          <w:tcPr>
            <w:tcW w:type="dxa" w:w="4873"/>
          </w:tcPr>
          <w:p>
            <w:r>
              <w:rPr>
                <w:b w:val="0"/>
                <w:sz w:val="18"/>
              </w:rPr>
              <w:t>30 septembre — revue le 31 décembre.</w:t>
            </w:r>
          </w:p>
        </w:tc>
      </w:tr>
      <w:tr>
        <w:tc>
          <w:tcPr>
            <w:tcW w:type="dxa" w:w="4873"/>
          </w:tcPr>
          <w:p>
            <w:r>
              <w:rPr>
                <w:b/>
                <w:sz w:val="18"/>
              </w:rPr>
              <w:t>Indicateur de résultat</w:t>
            </w:r>
          </w:p>
        </w:tc>
        <w:tc>
          <w:tcPr>
            <w:tcW w:type="dxa" w:w="4873"/>
          </w:tcPr>
          <w:p>
            <w:r>
              <w:rPr>
                <w:b w:val="0"/>
                <w:sz w:val="18"/>
              </w:rPr>
              <w:t>Nombre de signalements reçus sur le plateau. Taux d’absentéisme de l’unité. Réponse à l’item « je peux dire quand quelque chose ne va pas » du questionnaire annuel.</w:t>
            </w:r>
          </w:p>
        </w:tc>
      </w:tr>
      <w:tr>
        <w:tc>
          <w:tcPr>
            <w:tcW w:type="dxa" w:w="4873"/>
          </w:tcPr>
          <w:p>
            <w:r>
              <w:rPr>
                <w:b/>
                <w:sz w:val="18"/>
              </w:rPr>
              <w:t>Coût estimé</w:t>
            </w:r>
          </w:p>
        </w:tc>
        <w:tc>
          <w:tcPr>
            <w:tcW w:type="dxa" w:w="4873"/>
          </w:tcPr>
          <w:p>
            <w:r>
              <w:rPr>
                <w:b w:val="0"/>
                <w:sz w:val="18"/>
              </w:rPr>
              <w:t>4 encadrants × 1 journée de formation. Réaménagement de deux bureaux. 2 recrutements.</w:t>
            </w:r>
          </w:p>
        </w:tc>
      </w:tr>
    </w:tbl>
    <w:p>
      <w:pPr>
        <w:spacing w:before="280" w:after="80"/>
      </w:pPr>
      <w:r>
        <w:rPr>
          <w:b/>
          <w:i w:val="0"/>
          <w:color w:val="1F3B57"/>
          <w:sz w:val="25"/>
        </w:rPr>
        <w:t>5. Ce qui ne doit PAS y figurer</w:t>
      </w:r>
    </w:p>
    <w:p>
      <w:pPr>
        <w:spacing w:before="0" w:after="100"/>
      </w:pPr>
      <w:r>
        <w:rPr>
          <w:b w:val="0"/>
          <w:i w:val="0"/>
          <w:sz w:val="21"/>
        </w:rPr>
        <w:t>Le document unique est mis à la disposition des travailleurs, du comité, du médecin du travail et de l’inspection du travail (article R.4121-4). Il n’est donc jamais nominatif.</w:t>
      </w:r>
    </w:p>
    <w:p>
      <w:pPr>
        <w:pStyle w:val="ListBullet"/>
        <w:spacing w:after="40"/>
      </w:pPr>
      <w:r>
        <w:rPr>
          <w:sz w:val="20"/>
        </w:rPr>
        <w:t>Aucun nom de salarié, ni comme victime supposée, ni comme auteur supposé.</w:t>
      </w:r>
    </w:p>
    <w:p>
      <w:pPr>
        <w:pStyle w:val="ListBullet"/>
        <w:spacing w:after="40"/>
      </w:pPr>
      <w:r>
        <w:rPr>
          <w:sz w:val="20"/>
        </w:rPr>
        <w:t>Aucune donnée de santé : pas d’arrêt de travail nommé, pas de diagnostic, pas d’inaptitude rattachée à une personne.</w:t>
      </w:r>
    </w:p>
    <w:p>
      <w:pPr>
        <w:pStyle w:val="ListBullet"/>
        <w:spacing w:after="40"/>
      </w:pPr>
      <w:r>
        <w:rPr>
          <w:sz w:val="20"/>
        </w:rPr>
        <w:t>Aucun renvoi à un dossier en cours (« affaire du plateau, Mme …»). Le signalement se suit au registre, action 11.</w:t>
      </w:r>
    </w:p>
    <w:p>
      <w:pPr>
        <w:pStyle w:val="ListBullet"/>
        <w:spacing w:after="40"/>
      </w:pPr>
      <w:r>
        <w:rPr>
          <w:sz w:val="20"/>
        </w:rPr>
        <w:t>Aucune appréciation sur une personne. On décrit une organisation, pas des caractères.</w:t>
      </w:r>
    </w:p>
    <w:p>
      <w:pPr>
        <w:spacing w:before="0" w:after="100"/>
      </w:pPr>
      <w:r>
        <w:rPr>
          <w:b/>
          <w:i w:val="0"/>
          <w:sz w:val="21"/>
        </w:rPr>
        <w:t>La règle pratique : ce qui identifie quelqu’un va au registre des signalements, à accès restreint. Ce qui décrit une organisation va au document unique, qui est consultable.</w:t>
      </w:r>
    </w:p>
    <w:p>
      <w:pPr>
        <w:spacing w:before="280" w:after="80"/>
      </w:pPr>
      <w:r>
        <w:rPr>
          <w:b/>
          <w:i w:val="0"/>
          <w:color w:val="1F3B57"/>
          <w:sz w:val="25"/>
        </w:rPr>
        <w:t>6. Quand le mettre à jour</w:t>
      </w:r>
    </w:p>
    <w:p>
      <w:pPr>
        <w:spacing w:before="0" w:after="100"/>
      </w:pPr>
      <w:r>
        <w:rPr>
          <w:b w:val="0"/>
          <w:i w:val="0"/>
          <w:sz w:val="21"/>
        </w:rPr>
        <w:t>L’article R.4121-2 fixe trois déclencheurs : au moins chaque année dans les entreprises d’au moins onze salariés ; lors de toute décision d’aménagement important modifiant les conditions de santé, de sécurité ou les conditions de travail ; et lorsqu’une information supplémentaire intéressant l’évaluation d’un risque dans une unité de travail est portée à la connaissance de l’employeur.</w:t>
      </w:r>
    </w:p>
    <w:p>
      <w:pPr>
        <w:spacing w:before="0" w:after="100"/>
      </w:pPr>
      <w:r>
        <w:rPr>
          <w:b/>
          <w:i w:val="0"/>
          <w:sz w:val="21"/>
        </w:rPr>
        <w:t>Le troisième cas est celui qu’on oublie, et c’est le plus dangereux : un signalement EST une information supplémentaire. Un signalement reçu et un document unique inchangé, c’est l’aveu écrit qu’on savait et qu’on n’a rien tiré de ce qu’on savait.</w:t>
      </w:r>
    </w:p>
    <w:p>
      <w:pPr>
        <w:spacing w:before="0" w:after="100"/>
      </w:pPr>
      <w:r>
        <w:rPr>
          <w:b w:val="0"/>
          <w:i w:val="0"/>
          <w:sz w:val="21"/>
        </w:rPr>
        <w:t>Sont également des informations supplémentaires : un arrêt de travail long dans une même équipe, une alerte du médecin du travail, un droit d’alerte d’un élu, une inaptitude, une démission motivée par écrit, un compte rendu d’enquête. Chacune se date et se trace.</w:t>
      </w:r>
    </w:p>
    <w:p>
      <w:pPr>
        <w:spacing w:before="0" w:after="100"/>
      </w:pPr>
      <w:r>
        <w:rPr>
          <w:b w:val="0"/>
          <w:i/>
          <w:color w:val="555555"/>
          <w:sz w:val="19"/>
        </w:rPr>
        <w:t>À vérifier à la date de remise : les modalités de dépôt dématérialisé du document unique sur un portail numérique, dont le calendrier d’entrée en vigueur a été échelonné selon l’effectif.</w:t>
      </w:r>
    </w:p>
    <w:p>
      <w:pPr>
        <w:spacing w:before="240" w:after="80"/>
      </w:pPr>
      <w:r>
        <w:rPr>
          <w:b/>
          <w:i w:val="0"/>
          <w:color w:val="1F3B57"/>
          <w:sz w:val="25"/>
        </w:rPr>
        <w:t>Ce que l’action produit — les pièces à conserver</w:t>
      </w:r>
    </w:p>
    <w:p>
      <w:pPr>
        <w:pStyle w:val="ListBullet"/>
        <w:spacing w:after="40"/>
      </w:pPr>
      <w:r>
        <w:rPr>
          <w:sz w:val="20"/>
        </w:rPr>
        <w:t>Document unique daté, volet risques psychosociaux, avec la ligne « harcèlement » remplie pour chaque unité de travail concernée</w:t>
      </w:r>
    </w:p>
    <w:p>
      <w:pPr>
        <w:pStyle w:val="ListBullet"/>
        <w:spacing w:after="40"/>
      </w:pPr>
      <w:r>
        <w:rPr>
          <w:sz w:val="20"/>
        </w:rPr>
        <w:t>Programme annuel de prévention (au moins 50 salariés) ou liste d’actions intégrée (moins de 50 salariés)</w:t>
      </w:r>
    </w:p>
    <w:p>
      <w:pPr>
        <w:pStyle w:val="ListBullet"/>
        <w:spacing w:after="40"/>
      </w:pPr>
      <w:r>
        <w:rPr>
          <w:sz w:val="20"/>
        </w:rPr>
        <w:t>Procès-verbal de consultation du comité sur le document unique et sur le programme</w:t>
      </w:r>
    </w:p>
    <w:p>
      <w:pPr>
        <w:pStyle w:val="ListBullet"/>
        <w:spacing w:after="40"/>
      </w:pPr>
      <w:r>
        <w:rPr>
          <w:sz w:val="20"/>
        </w:rPr>
        <w:t>Historique des versions conservé — l’obligation de conservation est de quarante ans</w:t>
      </w:r>
    </w:p>
    <w:p>
      <w:pPr>
        <w:pStyle w:val="ListBullet"/>
        <w:spacing w:after="40"/>
      </w:pPr>
      <w:r>
        <w:rPr>
          <w:sz w:val="20"/>
        </w:rPr>
        <w:t>Preuve de mise à disposition : note de diffusion, avis d’accès, registre de consultation</w:t>
      </w:r>
    </w:p>
    <w:p>
      <w:pPr>
        <w:pStyle w:val="ListBullet"/>
        <w:spacing w:after="40"/>
      </w:pPr>
      <w:r>
        <w:rPr>
          <w:sz w:val="20"/>
        </w:rPr>
        <w:t>Pour chaque mise à jour, la pièce qui l’a déclenchée : signalement, alerte du médecin du travail, décision de réorganisation</w:t>
      </w:r>
    </w:p>
    <w:p>
      <w:r>
        <w:br w:type="page"/>
      </w:r>
    </w:p>
    <w:p>
      <w:pPr>
        <w:spacing w:before="0" w:after="80"/>
      </w:pPr>
      <w:r>
        <w:rPr>
          <w:b/>
          <w:i w:val="0"/>
          <w:color w:val="1F3B57"/>
          <w:sz w:val="32"/>
        </w:rPr>
        <w:t>Action 2 — Afficher les textes et les voies de recours</w:t>
      </w:r>
    </w:p>
    <w:p>
      <w:pPr>
        <w:spacing w:after="160"/>
        <w:pBdr>
          <w:bottom w:val="single" w:sz="8" w:color="C9A84C"/>
        </w:pBdr>
      </w:pPr>
    </w:p>
    <w:p>
      <w:pPr>
        <w:spacing w:before="0" w:after="60"/>
      </w:pPr>
      <w:r>
        <w:rPr>
          <w:b w:val="0"/>
          <w:i/>
          <w:color w:val="A0842E"/>
          <w:sz w:val="20"/>
        </w:rPr>
        <w:t>Articles L.1152-4, L.1153-5 et D.1151-1</w:t>
      </w:r>
    </w:p>
    <w:p>
      <w:pPr>
        <w:spacing w:before="0" w:after="160"/>
      </w:pPr>
      <w:r>
        <w:rPr>
          <w:b/>
          <w:i w:val="0"/>
          <w:color w:val="1F3B57"/>
          <w:sz w:val="20"/>
        </w:rPr>
        <w:t>Met en œuvre : L.4121-2, 9° — donner les instructions appropriées aux travailleurs.</w:t>
      </w:r>
    </w:p>
    <w:p>
      <w:pPr>
        <w:spacing w:before="0" w:after="100"/>
      </w:pPr>
      <w:r>
        <w:rPr>
          <w:b w:val="0"/>
          <w:i w:val="0"/>
          <w:sz w:val="21"/>
        </w:rPr>
        <w:t>C’est l’action la moins chère des douze, la plus vite faite, et celle qui manque le plus souvent. Un affichage absent se constate en une visite : c’est le premier constat d’un inspecteur du travail, et il ouvre le reste.</w:t>
      </w:r>
    </w:p>
    <w:p>
      <w:pPr>
        <w:spacing w:before="240" w:after="80"/>
      </w:pPr>
      <w:r>
        <w:rPr>
          <w:b/>
          <w:i w:val="0"/>
          <w:color w:val="1F3B57"/>
          <w:sz w:val="25"/>
        </w:rPr>
        <w:t>Ce que le code exige — et ce qu’il n’exige pas</w:t>
      </w:r>
    </w:p>
    <w:p>
      <w:pPr>
        <w:spacing w:before="0" w:after="100"/>
      </w:pPr>
      <w:r>
        <w:rPr>
          <w:b w:val="0"/>
          <w:i w:val="0"/>
          <w:sz w:val="21"/>
        </w:rPr>
        <w:t>L’information porte sur trois choses : le texte de l’article 222-33-2 du code pénal pour le harcèlement moral et celui de l’article 222-33 pour le harcèlement sexuel ; les actions contentieuses civiles et pénales ouvertes ; et les coordonnées des autorités et services compétents, dont la liste est fixée par l’article D.1151-1.</w:t>
      </w:r>
    </w:p>
    <w:p>
      <w:pPr>
        <w:spacing w:before="0" w:after="100"/>
      </w:pPr>
      <w:r>
        <w:rPr>
          <w:b w:val="0"/>
          <w:i w:val="0"/>
          <w:sz w:val="21"/>
        </w:rPr>
        <w:t>Où : dans les lieux de travail, ainsi que dans les locaux ou à la porte des locaux où se fait l’embauche. Sur chaque site, pas au seul siège.</w:t>
      </w:r>
    </w:p>
    <w:p>
      <w:pPr>
        <w:spacing w:before="0" w:after="100"/>
      </w:pPr>
      <w:r>
        <w:rPr>
          <w:b/>
          <w:i w:val="0"/>
          <w:sz w:val="21"/>
        </w:rPr>
        <w:t>Ce que le code n’impose pas : ni format, ni dimension, ni affiche du commerce. Le harcèlement sexuel se porte à connaissance « par tout moyen ». Mais un moyen sans trace ne prouve rien : choisissez celui qui laisse une preuve — l’affiche photographiée, l’intranet horodaté, le courriel avec accusé de lecture.</w:t>
      </w:r>
    </w:p>
    <w:p>
      <w:pPr>
        <w:spacing w:before="120" w:after="80"/>
      </w:pPr>
      <w:r>
        <w:rPr>
          <w:b w:val="0"/>
          <w:i w:val="0"/>
          <w:sz w:val="21"/>
        </w:rPr>
        <w:t>Les coordonnées à faire figurer, d’après D.1151-1 :</w:t>
      </w:r>
    </w:p>
    <w:p>
      <w:pPr>
        <w:pStyle w:val="ListBullet"/>
        <w:spacing w:after="40"/>
      </w:pPr>
      <w:r>
        <w:rPr>
          <w:sz w:val="20"/>
        </w:rPr>
        <w:t>Le médecin du travail ou le service de prévention et de santé au travail compétent pour l’établissement — adresse et téléphone.</w:t>
      </w:r>
    </w:p>
    <w:p>
      <w:pPr>
        <w:pStyle w:val="ListBullet"/>
        <w:spacing w:after="40"/>
      </w:pPr>
      <w:r>
        <w:rPr>
          <w:sz w:val="20"/>
        </w:rPr>
        <w:t>L’inspection du travail compétente, avec le nom de l’agent de contrôle.</w:t>
      </w:r>
    </w:p>
    <w:p>
      <w:pPr>
        <w:pStyle w:val="ListBullet"/>
        <w:spacing w:after="40"/>
      </w:pPr>
      <w:r>
        <w:rPr>
          <w:sz w:val="20"/>
        </w:rPr>
        <w:t>Le Défenseur des droits.</w:t>
      </w:r>
    </w:p>
    <w:p>
      <w:pPr>
        <w:pStyle w:val="ListBullet"/>
        <w:spacing w:after="40"/>
      </w:pPr>
      <w:r>
        <w:rPr>
          <w:sz w:val="20"/>
        </w:rPr>
        <w:t>Le référent désigné par le comité social et économique.</w:t>
      </w:r>
    </w:p>
    <w:p>
      <w:pPr>
        <w:pStyle w:val="ListBullet"/>
        <w:spacing w:after="40"/>
      </w:pPr>
      <w:r>
        <w:rPr>
          <w:sz w:val="20"/>
        </w:rPr>
        <w:t>Le référent de l’employeur, dans les entreprises d’au moins 250 salariés.</w:t>
      </w:r>
    </w:p>
    <w:p>
      <w:pPr>
        <w:spacing w:before="0" w:after="100"/>
      </w:pPr>
      <w:r>
        <w:rPr>
          <w:b/>
          <w:i w:val="0"/>
          <w:sz w:val="21"/>
        </w:rPr>
        <w:t>Un affichage qui renvoie à des fonctions sans nommer personne n’oriente personne. C’est le défaut le plus fréquent, et il vide l’action de son effet.</w:t>
      </w:r>
    </w:p>
    <w:p>
      <w:pPr>
        <w:spacing w:before="280" w:after="80"/>
      </w:pPr>
      <w:r>
        <w:rPr>
          <w:b/>
          <w:i w:val="0"/>
          <w:color w:val="1F3B57"/>
          <w:sz w:val="25"/>
        </w:rPr>
        <w:t>L’affiche, rubrique par rubrique — exemple rempli</w:t>
      </w:r>
    </w:p>
    <w:p>
      <w:pPr>
        <w:spacing w:before="0" w:after="120"/>
      </w:pPr>
      <w:r>
        <w:rPr>
          <w:b w:val="0"/>
          <w:i/>
          <w:color w:val="B23B3B"/>
          <w:sz w:val="19"/>
        </w:rPr>
        <w:t>Exemple pédagogique. Les crochets marquent ce qui doit être complété : une affiche laissée avec des crochets, ou avec des coordonnées périmées, est traitée comme une affiche absente.</w:t>
      </w:r>
    </w:p>
    <w:tbl>
      <w:tblPr>
        <w:tblStyle w:val="TableGrid"/>
        <w:tblW w:type="auto" w:w="0"/>
        <w:tblLook w:firstColumn="1" w:firstRow="1" w:lastColumn="0" w:lastRow="0" w:noHBand="0" w:noVBand="1" w:val="04A0"/>
      </w:tblPr>
      <w:tblGrid>
        <w:gridCol w:w="2381"/>
        <w:gridCol w:w="6803"/>
      </w:tblGrid>
      <w:tr>
        <w:tc>
          <w:tcPr>
            <w:tcW w:type="dxa" w:w="4873"/>
          </w:tcPr>
          <w:p>
            <w:r>
              <w:rPr>
                <w:b/>
                <w:sz w:val="18"/>
              </w:rPr>
              <w:t>Titre</w:t>
            </w:r>
          </w:p>
        </w:tc>
        <w:tc>
          <w:tcPr>
            <w:tcW w:type="dxa" w:w="4873"/>
          </w:tcPr>
          <w:p>
            <w:r>
              <w:rPr>
                <w:b w:val="0"/>
                <w:sz w:val="18"/>
              </w:rPr>
              <w:t>HARCÈLEMENT MORAL — HARCÈLEMENT SEXUEL — AGISSEMENTS SEXISTES. Ce que dit la loi. À qui s’adresser.</w:t>
            </w:r>
          </w:p>
        </w:tc>
      </w:tr>
      <w:tr>
        <w:tc>
          <w:tcPr>
            <w:tcW w:type="dxa" w:w="4873"/>
          </w:tcPr>
          <w:p>
            <w:r>
              <w:rPr>
                <w:b/>
                <w:sz w:val="18"/>
              </w:rPr>
              <w:t>Textes reproduits</w:t>
            </w:r>
          </w:p>
        </w:tc>
        <w:tc>
          <w:tcPr>
            <w:tcW w:type="dxa" w:w="4873"/>
          </w:tcPr>
          <w:p>
            <w:r>
              <w:rPr>
                <w:b w:val="0"/>
                <w:sz w:val="18"/>
              </w:rPr>
              <w:t>Article 222-33-2 du code pénal (harcèlement moral) et article 222-33 du code pénal (harcèlement sexuel), reproduits mot pour mot. Pas de résumé, pas de reformulation : c’est le texte qui est exigé.</w:t>
            </w:r>
          </w:p>
        </w:tc>
      </w:tr>
      <w:tr>
        <w:tc>
          <w:tcPr>
            <w:tcW w:type="dxa" w:w="4873"/>
          </w:tcPr>
          <w:p>
            <w:r>
              <w:rPr>
                <w:b/>
                <w:sz w:val="18"/>
              </w:rPr>
              <w:t>Rappel du code du travail</w:t>
            </w:r>
          </w:p>
        </w:tc>
        <w:tc>
          <w:tcPr>
            <w:tcW w:type="dxa" w:w="4873"/>
          </w:tcPr>
          <w:p>
            <w:r>
              <w:rPr>
                <w:b w:val="0"/>
                <w:sz w:val="18"/>
              </w:rPr>
              <w:t>Articles L.1152-1 et L.1153-1 (définitions), L.1152-2 et L.1153-2 (aucun salarié ne peut être sanctionné pour avoir subi, refusé de subir, relaté ou témoigné), L.1142-2-1 (agissements sexistes).</w:t>
            </w:r>
          </w:p>
        </w:tc>
      </w:tr>
      <w:tr>
        <w:tc>
          <w:tcPr>
            <w:tcW w:type="dxa" w:w="4873"/>
          </w:tcPr>
          <w:p>
            <w:r>
              <w:rPr>
                <w:b/>
                <w:sz w:val="18"/>
              </w:rPr>
              <w:t>Actions contentieuses ouvertes</w:t>
            </w:r>
          </w:p>
        </w:tc>
        <w:tc>
          <w:tcPr>
            <w:tcW w:type="dxa" w:w="4873"/>
          </w:tcPr>
          <w:p>
            <w:r>
              <w:rPr>
                <w:b w:val="0"/>
                <w:sz w:val="18"/>
              </w:rPr>
              <w:t>Conseil de prud’hommes : nullité de la rupture, dommages-intérêts, réintégration. Juridiction pénale : plainte, constitution de partie civile. Saisine possible sans passer par la hiérarchie.</w:t>
            </w:r>
          </w:p>
        </w:tc>
      </w:tr>
      <w:tr>
        <w:tc>
          <w:tcPr>
            <w:tcW w:type="dxa" w:w="4873"/>
          </w:tcPr>
          <w:p>
            <w:r>
              <w:rPr>
                <w:b/>
                <w:sz w:val="18"/>
              </w:rPr>
              <w:t>Médecin du travail / SPST</w:t>
            </w:r>
          </w:p>
        </w:tc>
        <w:tc>
          <w:tcPr>
            <w:tcW w:type="dxa" w:w="4873"/>
          </w:tcPr>
          <w:p>
            <w:r>
              <w:rPr>
                <w:b w:val="0"/>
                <w:sz w:val="18"/>
              </w:rPr>
              <w:t>[Nom du service] — [adresse complète] — [téléphone]. À compléter, jamais laissé générique.</w:t>
            </w:r>
          </w:p>
        </w:tc>
      </w:tr>
      <w:tr>
        <w:tc>
          <w:tcPr>
            <w:tcW w:type="dxa" w:w="4873"/>
          </w:tcPr>
          <w:p>
            <w:r>
              <w:rPr>
                <w:b/>
                <w:sz w:val="18"/>
              </w:rPr>
              <w:t>Inspection du travail</w:t>
            </w:r>
          </w:p>
        </w:tc>
        <w:tc>
          <w:tcPr>
            <w:tcW w:type="dxa" w:w="4873"/>
          </w:tcPr>
          <w:p>
            <w:r>
              <w:rPr>
                <w:b w:val="0"/>
                <w:sz w:val="18"/>
              </w:rPr>
              <w:t>Unité de contrôle n° [ ] — [nom de l’agent de contrôle] — [adresse] — [téléphone] — [courriel]. Le nom de l’agent est expressément exigé.</w:t>
            </w:r>
          </w:p>
        </w:tc>
      </w:tr>
      <w:tr>
        <w:tc>
          <w:tcPr>
            <w:tcW w:type="dxa" w:w="4873"/>
          </w:tcPr>
          <w:p>
            <w:r>
              <w:rPr>
                <w:b/>
                <w:sz w:val="18"/>
              </w:rPr>
              <w:t>Défenseur des droits</w:t>
            </w:r>
          </w:p>
        </w:tc>
        <w:tc>
          <w:tcPr>
            <w:tcW w:type="dxa" w:w="4873"/>
          </w:tcPr>
          <w:p>
            <w:r>
              <w:rPr>
                <w:b w:val="0"/>
                <w:sz w:val="18"/>
              </w:rPr>
              <w:t>[Coordonnées et numéro en vigueur à la date de l’affichage — à vérifier au moment de l’impression, ils ont changé plusieurs fois.]</w:t>
            </w:r>
          </w:p>
        </w:tc>
      </w:tr>
      <w:tr>
        <w:tc>
          <w:tcPr>
            <w:tcW w:type="dxa" w:w="4873"/>
          </w:tcPr>
          <w:p>
            <w:r>
              <w:rPr>
                <w:b/>
                <w:sz w:val="18"/>
              </w:rPr>
              <w:t>Référent du comité</w:t>
            </w:r>
          </w:p>
        </w:tc>
        <w:tc>
          <w:tcPr>
            <w:tcW w:type="dxa" w:w="4873"/>
          </w:tcPr>
          <w:p>
            <w:r>
              <w:rPr>
                <w:b w:val="0"/>
                <w:sz w:val="18"/>
              </w:rPr>
              <w:t>[Nom, prénom] — [poste] — [courriel] — [téléphone]. Désigné par délibération du [date].</w:t>
            </w:r>
          </w:p>
        </w:tc>
      </w:tr>
      <w:tr>
        <w:tc>
          <w:tcPr>
            <w:tcW w:type="dxa" w:w="4873"/>
          </w:tcPr>
          <w:p>
            <w:r>
              <w:rPr>
                <w:b/>
                <w:sz w:val="18"/>
              </w:rPr>
              <w:t>Référent de l’employeur</w:t>
            </w:r>
          </w:p>
        </w:tc>
        <w:tc>
          <w:tcPr>
            <w:tcW w:type="dxa" w:w="4873"/>
          </w:tcPr>
          <w:p>
            <w:r>
              <w:rPr>
                <w:b w:val="0"/>
                <w:sz w:val="18"/>
              </w:rPr>
              <w:t>[Nom, prénom] — [fonction] — [courriel direct] — [téléphone]. Entreprises d’au moins 250 salariés.</w:t>
            </w:r>
          </w:p>
        </w:tc>
      </w:tr>
      <w:tr>
        <w:tc>
          <w:tcPr>
            <w:tcW w:type="dxa" w:w="4873"/>
          </w:tcPr>
          <w:p>
            <w:r>
              <w:rPr>
                <w:b/>
                <w:sz w:val="18"/>
              </w:rPr>
              <w:t>Comment signaler</w:t>
            </w:r>
          </w:p>
        </w:tc>
        <w:tc>
          <w:tcPr>
            <w:tcW w:type="dxa" w:w="4873"/>
          </w:tcPr>
          <w:p>
            <w:r>
              <w:rPr>
                <w:b w:val="0"/>
                <w:sz w:val="18"/>
              </w:rPr>
              <w:t>Renvoi en trois lignes à la procédure de l’action 6, avec les délais : accusé de réception sous 48 heures, première mesure sous 8 jours.</w:t>
            </w:r>
          </w:p>
        </w:tc>
      </w:tr>
      <w:tr>
        <w:tc>
          <w:tcPr>
            <w:tcW w:type="dxa" w:w="4873"/>
          </w:tcPr>
          <w:p>
            <w:r>
              <w:rPr>
                <w:b/>
                <w:sz w:val="18"/>
              </w:rPr>
              <w:t>Version et date</w:t>
            </w:r>
          </w:p>
        </w:tc>
        <w:tc>
          <w:tcPr>
            <w:tcW w:type="dxa" w:w="4873"/>
          </w:tcPr>
          <w:p>
            <w:r>
              <w:rPr>
                <w:b w:val="0"/>
                <w:sz w:val="18"/>
              </w:rPr>
              <w:t>Version du [date] — remplace celle du [date]. Affichée sur [liste des sites]. Photographiée le [date].</w:t>
            </w:r>
          </w:p>
        </w:tc>
      </w:tr>
    </w:tbl>
    <w:p>
      <w:pPr>
        <w:spacing w:before="240" w:after="80"/>
      </w:pPr>
      <w:r>
        <w:rPr>
          <w:b/>
          <w:i w:val="0"/>
          <w:color w:val="1F3B57"/>
          <w:sz w:val="25"/>
        </w:rPr>
        <w:t>Où l’afficher, et pour qui</w:t>
      </w:r>
    </w:p>
    <w:p>
      <w:pPr>
        <w:pStyle w:val="ListBullet"/>
        <w:spacing w:after="40"/>
      </w:pPr>
      <w:r>
        <w:rPr>
          <w:sz w:val="20"/>
        </w:rPr>
        <w:t>Sur chaque site et chaque établissement, y compris les petites antennes et les chantiers durables.</w:t>
      </w:r>
    </w:p>
    <w:p>
      <w:pPr>
        <w:pStyle w:val="ListBullet"/>
        <w:spacing w:after="40"/>
      </w:pPr>
      <w:r>
        <w:rPr>
          <w:sz w:val="20"/>
        </w:rPr>
        <w:t>Dans le local d’embauche, ou à sa porte — le texte le vise expressément.</w:t>
      </w:r>
    </w:p>
    <w:p>
      <w:pPr>
        <w:pStyle w:val="ListBullet"/>
        <w:spacing w:after="40"/>
      </w:pPr>
      <w:r>
        <w:rPr>
          <w:sz w:val="20"/>
        </w:rPr>
        <w:t>Dans les lieux où l’on passe : salle de pause, vestiaires, à côté de la pointeuse. Pas dans un couloir de direction que personne n’emprunte.</w:t>
      </w:r>
    </w:p>
    <w:p>
      <w:pPr>
        <w:pStyle w:val="ListBullet"/>
        <w:spacing w:after="40"/>
      </w:pPr>
      <w:r>
        <w:rPr>
          <w:sz w:val="20"/>
        </w:rPr>
        <w:t>Pour les télétravailleurs, les itinérants et les salariés détachés chez un client : un relais numérique équivalent — intranet, note diffusée avec accusé de lecture, rappel en pied de bulletin.</w:t>
      </w:r>
    </w:p>
    <w:p>
      <w:pPr>
        <w:pStyle w:val="ListBullet"/>
        <w:spacing w:after="40"/>
      </w:pPr>
      <w:r>
        <w:rPr>
          <w:sz w:val="20"/>
        </w:rPr>
        <w:t>Dans la langue comprise par les salariés concernés, lorsqu’une partie du personnel ne lit pas le français.</w:t>
      </w:r>
    </w:p>
    <w:p>
      <w:pPr>
        <w:spacing w:before="240" w:after="80"/>
      </w:pPr>
      <w:r>
        <w:rPr>
          <w:b/>
          <w:i w:val="0"/>
          <w:color w:val="1F3B57"/>
          <w:sz w:val="25"/>
        </w:rPr>
        <w:t>Le contrôle, deux fois par an</w:t>
      </w:r>
    </w:p>
    <w:p>
      <w:pPr>
        <w:spacing w:before="0" w:after="100"/>
      </w:pPr>
      <w:r>
        <w:rPr>
          <w:b w:val="0"/>
          <w:i w:val="0"/>
          <w:sz w:val="21"/>
        </w:rPr>
        <w:t>Une affiche décollée, recouverte ou périmée équivaut à une absence d’affichage. Le contrôle se fait deux fois par an, sur une fiche : date, site, état, photographie prise, nom de celui qui a contrôlé. Les coordonnées se vérifient à chaque contrôle — l’agent de contrôle change, le référent change, le service de santé au travail fusionne.</w:t>
      </w:r>
    </w:p>
    <w:p>
      <w:pPr>
        <w:spacing w:before="240" w:after="80"/>
      </w:pPr>
      <w:r>
        <w:rPr>
          <w:b/>
          <w:i w:val="0"/>
          <w:color w:val="1F3B57"/>
          <w:sz w:val="25"/>
        </w:rPr>
        <w:t>Les erreurs qui annulent l’action</w:t>
      </w:r>
    </w:p>
    <w:p>
      <w:pPr>
        <w:pStyle w:val="ListBullet"/>
        <w:spacing w:after="40"/>
      </w:pPr>
      <w:r>
        <w:rPr>
          <w:sz w:val="20"/>
        </w:rPr>
        <w:t>Une affiche du commerce achetée une fois, jamais mise à jour, sans aucun nom.</w:t>
      </w:r>
    </w:p>
    <w:p>
      <w:pPr>
        <w:pStyle w:val="ListBullet"/>
        <w:spacing w:after="40"/>
      </w:pPr>
      <w:r>
        <w:rPr>
          <w:sz w:val="20"/>
        </w:rPr>
        <w:t>L’affichage au seul siège social, alors que l’entreprise a quatre établissements.</w:t>
      </w:r>
    </w:p>
    <w:p>
      <w:pPr>
        <w:pStyle w:val="ListBullet"/>
        <w:spacing w:after="40"/>
      </w:pPr>
      <w:r>
        <w:rPr>
          <w:sz w:val="20"/>
        </w:rPr>
        <w:t>Le renvoi à « votre manager » comme unique porte d’entrée — c’est souvent la personne mise en cause.</w:t>
      </w:r>
    </w:p>
    <w:p>
      <w:pPr>
        <w:pStyle w:val="ListBullet"/>
        <w:spacing w:after="40"/>
      </w:pPr>
      <w:r>
        <w:rPr>
          <w:sz w:val="20"/>
        </w:rPr>
        <w:t>Le résumé des articles du code pénal au lieu de leur texte.</w:t>
      </w:r>
    </w:p>
    <w:p>
      <w:pPr>
        <w:pStyle w:val="ListBullet"/>
        <w:spacing w:after="40"/>
      </w:pPr>
      <w:r>
        <w:rPr>
          <w:sz w:val="20"/>
        </w:rPr>
        <w:t>Aucune version pour les salariés qui ne viennent jamais sur site.</w:t>
      </w:r>
    </w:p>
    <w:p>
      <w:pPr>
        <w:pStyle w:val="ListBullet"/>
        <w:spacing w:after="40"/>
      </w:pPr>
      <w:r>
        <w:rPr>
          <w:sz w:val="20"/>
        </w:rPr>
        <w:t>Aucune photographie, aucune date : rien à produire au dossier.</w:t>
      </w:r>
    </w:p>
    <w:p>
      <w:pPr>
        <w:spacing w:before="240" w:after="80"/>
      </w:pPr>
      <w:r>
        <w:rPr>
          <w:b/>
          <w:i w:val="0"/>
          <w:color w:val="1F3B57"/>
          <w:sz w:val="25"/>
        </w:rPr>
        <w:t>Ce que l’action produit — les pièces à conserver</w:t>
      </w:r>
    </w:p>
    <w:p>
      <w:pPr>
        <w:pStyle w:val="ListBullet"/>
        <w:spacing w:after="40"/>
      </w:pPr>
      <w:r>
        <w:rPr>
          <w:sz w:val="20"/>
        </w:rPr>
        <w:t>Affiche à jour, un exemplaire conservé par version et par site</w:t>
      </w:r>
    </w:p>
    <w:p>
      <w:pPr>
        <w:pStyle w:val="ListBullet"/>
        <w:spacing w:after="40"/>
      </w:pPr>
      <w:r>
        <w:rPr>
          <w:sz w:val="20"/>
        </w:rPr>
        <w:t>Photographies datées de chaque affichage</w:t>
      </w:r>
    </w:p>
    <w:p>
      <w:pPr>
        <w:pStyle w:val="ListBullet"/>
        <w:spacing w:after="40"/>
      </w:pPr>
      <w:r>
        <w:rPr>
          <w:sz w:val="20"/>
        </w:rPr>
        <w:t>Fiche de contrôle semestriel, signée</w:t>
      </w:r>
    </w:p>
    <w:p>
      <w:pPr>
        <w:pStyle w:val="ListBullet"/>
        <w:spacing w:after="40"/>
      </w:pPr>
      <w:r>
        <w:rPr>
          <w:sz w:val="20"/>
        </w:rPr>
        <w:t>Pour les salariés à distance : preuve de diffusion horodatée et accusés de lecture</w:t>
      </w:r>
    </w:p>
    <w:p>
      <w:pPr>
        <w:pStyle w:val="ListBullet"/>
        <w:spacing w:after="40"/>
      </w:pPr>
      <w:r>
        <w:rPr>
          <w:sz w:val="20"/>
        </w:rPr>
        <w:t>Historique des versions, avec la date de chaque mise à jour des coordonnées</w:t>
      </w:r>
    </w:p>
    <w:p>
      <w:r>
        <w:br w:type="page"/>
      </w:r>
    </w:p>
    <w:p>
      <w:pPr>
        <w:spacing w:before="0" w:after="80"/>
      </w:pPr>
      <w:r>
        <w:rPr>
          <w:b/>
          <w:i w:val="0"/>
          <w:color w:val="1F3B57"/>
          <w:sz w:val="32"/>
        </w:rPr>
        <w:t>Action 3 — Compléter le règlement intérieur</w:t>
      </w:r>
    </w:p>
    <w:p>
      <w:pPr>
        <w:spacing w:after="160"/>
        <w:pBdr>
          <w:bottom w:val="single" w:sz="8" w:color="C9A84C"/>
        </w:pBdr>
      </w:pPr>
    </w:p>
    <w:p>
      <w:pPr>
        <w:spacing w:before="0" w:after="60"/>
      </w:pPr>
      <w:r>
        <w:rPr>
          <w:b w:val="0"/>
          <w:i/>
          <w:color w:val="A0842E"/>
          <w:sz w:val="20"/>
        </w:rPr>
        <w:t>Articles L.1311-2, L.1321-1, L.1321-2 et L.1321-4</w:t>
      </w:r>
    </w:p>
    <w:p>
      <w:pPr>
        <w:spacing w:before="0" w:after="160"/>
      </w:pPr>
      <w:r>
        <w:rPr>
          <w:b/>
          <w:i w:val="0"/>
          <w:color w:val="1F3B57"/>
          <w:sz w:val="20"/>
        </w:rPr>
        <w:t>Met en œuvre : L.4121-2, 1° — éviter les risques, en posant l’interdit avant tout incident ; et 9° — donner les instructions appropriées.</w:t>
      </w:r>
    </w:p>
    <w:p>
      <w:pPr>
        <w:spacing w:before="0" w:after="100"/>
      </w:pPr>
      <w:r>
        <w:rPr>
          <w:b w:val="0"/>
          <w:i w:val="0"/>
          <w:sz w:val="21"/>
        </w:rPr>
        <w:t>Le règlement intérieur est obligatoire dans les entreprises ou établissements employant au moins cinquante salariés. En dessous, il reste facultatif — mais sans lui, aucune sanction disciplinaire autre que celles prévues par la loi n’est opposable. C’est une raison suffisante de l’établir.</w:t>
      </w:r>
    </w:p>
    <w:p>
      <w:pPr>
        <w:spacing w:before="240" w:after="80"/>
      </w:pPr>
      <w:r>
        <w:rPr>
          <w:b/>
          <w:i w:val="0"/>
          <w:color w:val="1F3B57"/>
          <w:sz w:val="25"/>
        </w:rPr>
        <w:t>Ce que le code exige — et ce qu’il n’exige pas</w:t>
      </w:r>
    </w:p>
    <w:p>
      <w:pPr>
        <w:spacing w:before="0" w:after="100"/>
      </w:pPr>
      <w:r>
        <w:rPr>
          <w:b w:val="0"/>
          <w:i w:val="0"/>
          <w:sz w:val="21"/>
        </w:rPr>
        <w:t>L’article L.1321-2 impose au règlement intérieur de rappeler les dispositions relatives aux harcèlements moral et sexuel et aux agissements sexistes prévues par le code du travail, ainsi que celles relatives aux droits de la défense des salariés.</w:t>
      </w:r>
    </w:p>
    <w:p>
      <w:pPr>
        <w:spacing w:before="0" w:after="100"/>
      </w:pPr>
      <w:r>
        <w:rPr>
          <w:b w:val="0"/>
          <w:i w:val="0"/>
          <w:sz w:val="21"/>
        </w:rPr>
        <w:t>L’article L.1321-1 fixe le reste du contenu obligatoire : les mesures d’application de la réglementation en matière de santé et de sécurité, les règles générales et permanentes relatives à la discipline, et notamment la nature et l’échelle des sanctions.</w:t>
      </w:r>
    </w:p>
    <w:p>
      <w:pPr>
        <w:spacing w:before="0" w:after="100"/>
      </w:pPr>
      <w:r>
        <w:rPr>
          <w:b/>
          <w:i w:val="0"/>
          <w:sz w:val="21"/>
        </w:rPr>
        <w:t>L’échelle des sanctions est le point que tout le monde traite comme une formalité. Elle ne l’est pas : une sanction qui n’y figure pas ne peut pas être prononcée. Un employeur qui découvre un harcèlement avéré et dont le règlement ne prévoit ni mise à pied disciplinaire ni rétrogradation se retrouve avec deux options seulement — l’avertissement ou le licenciement.</w:t>
      </w:r>
    </w:p>
    <w:p>
      <w:pPr>
        <w:spacing w:before="0" w:after="100"/>
      </w:pPr>
      <w:r>
        <w:rPr>
          <w:b w:val="0"/>
          <w:i w:val="0"/>
          <w:sz w:val="21"/>
        </w:rPr>
        <w:t>Ce que le code n’impose pas : aucune rédaction type. Les clauses ci-dessous sont notre proposition, pas un modèle officiel.</w:t>
      </w:r>
    </w:p>
    <w:p>
      <w:pPr>
        <w:spacing w:before="280" w:after="80"/>
      </w:pPr>
      <w:r>
        <w:rPr>
          <w:b/>
          <w:i w:val="0"/>
          <w:color w:val="1F3B57"/>
          <w:sz w:val="25"/>
        </w:rPr>
        <w:t>Les clauses à insérer — rédigées, à adapter</w:t>
      </w:r>
    </w:p>
    <w:p>
      <w:pPr>
        <w:spacing w:before="0" w:after="120"/>
      </w:pPr>
      <w:r>
        <w:rPr>
          <w:b w:val="0"/>
          <w:i/>
          <w:color w:val="B23B3B"/>
          <w:sz w:val="19"/>
        </w:rPr>
        <w:t>Exemple pédagogique et rédactionnel. Ces clauses sont proposées à titre de modèle : elles doivent être relues au regard de votre convention collective et de vos usages avant d’être soumises au comité.</w:t>
      </w:r>
    </w:p>
    <w:tbl>
      <w:tblPr>
        <w:tblStyle w:val="TableGrid"/>
        <w:tblW w:type="auto" w:w="0"/>
        <w:tblLook w:firstColumn="1" w:firstRow="1" w:lastColumn="0" w:lastRow="0" w:noHBand="0" w:noVBand="1" w:val="04A0"/>
      </w:tblPr>
      <w:tblGrid>
        <w:gridCol w:w="2381"/>
        <w:gridCol w:w="6803"/>
      </w:tblGrid>
      <w:tr>
        <w:tc>
          <w:tcPr>
            <w:tcW w:type="dxa" w:w="4873"/>
          </w:tcPr>
          <w:p>
            <w:r>
              <w:rPr>
                <w:b/>
                <w:sz w:val="18"/>
              </w:rPr>
              <w:t>Article — Interdiction du harcèlement moral</w:t>
            </w:r>
          </w:p>
        </w:tc>
        <w:tc>
          <w:tcPr>
            <w:tcW w:type="dxa" w:w="4873"/>
          </w:tcPr>
          <w:p>
            <w:r>
              <w:rPr>
                <w:b w:val="0"/>
                <w:sz w:val="18"/>
              </w:rPr>
              <w:t>Aucun salarié ne doit subir les agissements répétés de harcèlement moral qui ont pour objet ou pour effet une dégradation de ses conditions de travail susceptible de porter atteinte à ses droits et à sa dignité, d’altérer sa santé physique ou mentale ou de compromettre son avenir professionnel. Cette interdiction s’applique à tous, sans considération de niveau hiérarchique, et quelle que soit l’intention de son auteur. Elle s’applique également aux agissements commis à l’égard d’un salarié par une personne extérieure à l’entreprise intervenant sur les lieux de travail.</w:t>
            </w:r>
          </w:p>
        </w:tc>
      </w:tr>
      <w:tr>
        <w:tc>
          <w:tcPr>
            <w:tcW w:type="dxa" w:w="4873"/>
          </w:tcPr>
          <w:p>
            <w:r>
              <w:rPr>
                <w:b/>
                <w:sz w:val="18"/>
              </w:rPr>
              <w:t>Article — Harcèlement sexuel et agissements sexistes</w:t>
            </w:r>
          </w:p>
        </w:tc>
        <w:tc>
          <w:tcPr>
            <w:tcW w:type="dxa" w:w="4873"/>
          </w:tcPr>
          <w:p>
            <w:r>
              <w:rPr>
                <w:b w:val="0"/>
                <w:sz w:val="18"/>
              </w:rPr>
              <w:t>Sont interdits les propos ou comportements à connotation sexuelle ou sexiste répétés qui portent atteinte à la dignité d’une personne en raison de leur caractère dégradant ou humiliant, ou créent à son encontre une situation intimidante, hostile ou offensante, ainsi que toute forme de pression grave, même non répétée, exercée dans le but réel ou apparent d’obtenir un acte de nature sexuelle. Est également interdit tout agissement sexiste, c’est-à-dire tout agissement lié au sexe d’une personne ayant pour objet ou pour effet de porter atteinte à sa dignité ou de créer un environnement intimidant, hostile, dégradant, humiliant ou offensant.</w:t>
            </w:r>
          </w:p>
        </w:tc>
      </w:tr>
      <w:tr>
        <w:tc>
          <w:tcPr>
            <w:tcW w:type="dxa" w:w="4873"/>
          </w:tcPr>
          <w:p>
            <w:r>
              <w:rPr>
                <w:b/>
                <w:sz w:val="18"/>
              </w:rPr>
              <w:t>Article — Signalement</w:t>
            </w:r>
          </w:p>
        </w:tc>
        <w:tc>
          <w:tcPr>
            <w:tcW w:type="dxa" w:w="4873"/>
          </w:tcPr>
          <w:p>
            <w:r>
              <w:rPr>
                <w:b w:val="0"/>
                <w:sz w:val="18"/>
              </w:rPr>
              <w:t>Tout salarié qui s’estime victime ou témoin de tels agissements peut saisir, à son choix et sans avoir à justifier de sa démarche : son supérieur hiérarchique, la direction des ressources humaines, le référent désigné par l’employeur, le référent désigné par le comité social et économique, tout élu du comité, le service de prévention et de santé au travail, ou l’inspection du travail. Le salarié n’est pas tenu de saisir sa hiérarchie directe. Il n’est pas tenu d’employer le mot « harcèlement » : la description des faits suffit.</w:t>
            </w:r>
          </w:p>
        </w:tc>
      </w:tr>
      <w:tr>
        <w:tc>
          <w:tcPr>
            <w:tcW w:type="dxa" w:w="4873"/>
          </w:tcPr>
          <w:p>
            <w:r>
              <w:rPr>
                <w:b/>
                <w:sz w:val="18"/>
              </w:rPr>
              <w:t>Article — Protection du salarié qui signale ou témoigne</w:t>
            </w:r>
          </w:p>
        </w:tc>
        <w:tc>
          <w:tcPr>
            <w:tcW w:type="dxa" w:w="4873"/>
          </w:tcPr>
          <w:p>
            <w:r>
              <w:rPr>
                <w:b w:val="0"/>
                <w:sz w:val="18"/>
              </w:rPr>
              <w:t>Aucun salarié, aucune personne en formation ou en stage, aucun candidat à un recrutement ne peut être sanctionné, licencié ou faire l’objet d’une mesure discriminatoire, directe ou indirecte, pour avoir subi ou refusé de subir de tels agissements, pour les avoir relatés ou pour en avoir témoigné. Cette protection s’applique dès lors que le salarié est de bonne foi. Toute mesure prise en méconnaissance du présent article est nulle.</w:t>
            </w:r>
          </w:p>
        </w:tc>
      </w:tr>
      <w:tr>
        <w:tc>
          <w:tcPr>
            <w:tcW w:type="dxa" w:w="4873"/>
          </w:tcPr>
          <w:p>
            <w:r>
              <w:rPr>
                <w:b/>
                <w:sz w:val="18"/>
              </w:rPr>
              <w:t>Article — Échelle des sanctions</w:t>
            </w:r>
          </w:p>
        </w:tc>
        <w:tc>
          <w:tcPr>
            <w:tcW w:type="dxa" w:w="4873"/>
          </w:tcPr>
          <w:p>
            <w:r>
              <w:rPr>
                <w:b w:val="0"/>
                <w:sz w:val="18"/>
              </w:rPr>
              <w:t>Par ordre de gravité croissante : avertissement écrit ; blâme ; mise à pied disciplinaire de un à [n] jours, sans rémunération ; mutation disciplinaire ; rétrogradation ; licenciement pour cause réelle et sérieuse ; licenciement pour faute grave ; licenciement pour faute lourde. Les faits de harcèlement moral, de harcèlement sexuel et les agissements sexistes constituent une faute pouvant justifier une sanction pouvant aller jusqu’au licenciement pour faute grave, indépendamment des poursuites pénales encourues.</w:t>
            </w:r>
          </w:p>
        </w:tc>
      </w:tr>
      <w:tr>
        <w:tc>
          <w:tcPr>
            <w:tcW w:type="dxa" w:w="4873"/>
          </w:tcPr>
          <w:p>
            <w:r>
              <w:rPr>
                <w:b/>
                <w:sz w:val="18"/>
              </w:rPr>
              <w:t>Article — Procédure disciplinaire</w:t>
            </w:r>
          </w:p>
        </w:tc>
        <w:tc>
          <w:tcPr>
            <w:tcW w:type="dxa" w:w="4873"/>
          </w:tcPr>
          <w:p>
            <w:r>
              <w:rPr>
                <w:b w:val="0"/>
                <w:sz w:val="18"/>
              </w:rPr>
              <w:t>Rappel des articles L.1332-1 et suivants : convocation écrite à un entretien préalable, assistance possible, délai de notification, prescription des faits fautifs au-delà de deux mois. Pour un salarié protégé, autorisation préalable de l’inspection du travail.</w:t>
            </w:r>
          </w:p>
        </w:tc>
      </w:tr>
    </w:tbl>
    <w:p>
      <w:pPr>
        <w:spacing w:before="240" w:after="80"/>
      </w:pPr>
      <w:r>
        <w:rPr>
          <w:b/>
          <w:i w:val="0"/>
          <w:color w:val="1F3B57"/>
          <w:sz w:val="25"/>
        </w:rPr>
        <w:t>Ce que le règlement intérieur ne doit PAS contenir</w:t>
      </w:r>
    </w:p>
    <w:p>
      <w:pPr>
        <w:pStyle w:val="ListBullet"/>
        <w:spacing w:after="40"/>
      </w:pPr>
      <w:r>
        <w:rPr>
          <w:sz w:val="20"/>
        </w:rPr>
        <w:t>Une clause imposant de passer d’abord par la hiérarchie directe — c’est souvent la personne mise en cause.</w:t>
      </w:r>
    </w:p>
    <w:p>
      <w:pPr>
        <w:pStyle w:val="ListBullet"/>
        <w:spacing w:after="40"/>
      </w:pPr>
      <w:r>
        <w:rPr>
          <w:sz w:val="20"/>
        </w:rPr>
        <w:t>Une clause exigeant que le signalement soit écrit, motivé ou accompagné de preuves. Le salarié n’a pas à prouver : il présente des éléments de fait (L.1154-1).</w:t>
      </w:r>
    </w:p>
    <w:p>
      <w:pPr>
        <w:pStyle w:val="ListBullet"/>
        <w:spacing w:after="40"/>
      </w:pPr>
      <w:r>
        <w:rPr>
          <w:sz w:val="20"/>
        </w:rPr>
        <w:t>Une menace de sanction contre le salarié dont la dénonciation ne serait pas « confirmée ». Seule la mauvaise foi — la connaissance de la fausseté des faits — peut être sanctionnée, et elle ne se présume pas.</w:t>
      </w:r>
    </w:p>
    <w:p>
      <w:pPr>
        <w:pStyle w:val="ListBullet"/>
        <w:spacing w:after="40"/>
      </w:pPr>
      <w:r>
        <w:rPr>
          <w:sz w:val="20"/>
        </w:rPr>
        <w:t>Une clause de confidentialité interdisant au salarié de parler des faits à l’extérieur : elle est inopposable et se retourne contre l’employeur.</w:t>
      </w:r>
    </w:p>
    <w:p>
      <w:pPr>
        <w:pStyle w:val="ListBullet"/>
        <w:spacing w:after="40"/>
      </w:pPr>
      <w:r>
        <w:rPr>
          <w:sz w:val="20"/>
        </w:rPr>
        <w:t>Un délai de forclusion pour signaler.</w:t>
      </w:r>
    </w:p>
    <w:p>
      <w:pPr>
        <w:spacing w:before="240" w:after="80"/>
      </w:pPr>
      <w:r>
        <w:rPr>
          <w:b/>
          <w:i w:val="0"/>
          <w:color w:val="1F3B57"/>
          <w:sz w:val="25"/>
        </w:rPr>
        <w:t>La procédure, dans l’ordre</w:t>
      </w:r>
    </w:p>
    <w:p>
      <w:pPr>
        <w:spacing w:before="0" w:after="100"/>
      </w:pPr>
      <w:r>
        <w:rPr>
          <w:b w:val="0"/>
          <w:i w:val="0"/>
          <w:sz w:val="21"/>
        </w:rPr>
        <w:t>Consultation du comité social et économique ; transmission à l’inspection du travail en deux exemplaires, accompagnée de l’avis du comité ; dépôt au greffe du conseil de prud’hommes du ressort ; affichage sur les lieux de travail et à la porte des locaux d’embauche ; entrée en vigueur un mois après l’accomplissement des formalités de dépôt et de publicité (article L.1321-4). Une clause appliquée avant ce délai est inopposable.</w:t>
      </w:r>
    </w:p>
    <w:p>
      <w:pPr>
        <w:spacing w:before="120" w:after="100"/>
      </w:pPr>
      <w:r>
        <w:rPr>
          <w:b/>
          <w:i w:val="0"/>
          <w:sz w:val="21"/>
        </w:rPr>
        <w:t>Et la mise en garde qui commande tout le dossier : une procédure d’alerte inscrite au règlement intérieur, même mise en œuvre par la victime, NE SUFFIT PAS à démontrer que toutes les mesures de prévention ont été prises (Cass. soc., 1er juin 2016, n° 14-19.702). Cette action est nécessaire ; elle n’est jamais suffisante. C’est la raison d’être des onze autres.</w:t>
      </w:r>
    </w:p>
    <w:p>
      <w:pPr>
        <w:spacing w:before="240" w:after="80"/>
      </w:pPr>
      <w:r>
        <w:rPr>
          <w:b/>
          <w:i w:val="0"/>
          <w:color w:val="1F3B57"/>
          <w:sz w:val="25"/>
        </w:rPr>
        <w:t>Ce que l’action produit — les pièces à conserver</w:t>
      </w:r>
    </w:p>
    <w:p>
      <w:pPr>
        <w:pStyle w:val="ListBullet"/>
        <w:spacing w:after="40"/>
      </w:pPr>
      <w:r>
        <w:rPr>
          <w:sz w:val="20"/>
        </w:rPr>
        <w:t>Règlement intérieur à jour, daté, avec le numéro de version</w:t>
      </w:r>
    </w:p>
    <w:p>
      <w:pPr>
        <w:pStyle w:val="ListBullet"/>
        <w:spacing w:after="40"/>
      </w:pPr>
      <w:r>
        <w:rPr>
          <w:sz w:val="20"/>
        </w:rPr>
        <w:t>Procès-verbal de consultation du comité, ou avis écrit</w:t>
      </w:r>
    </w:p>
    <w:p>
      <w:pPr>
        <w:pStyle w:val="ListBullet"/>
        <w:spacing w:after="40"/>
      </w:pPr>
      <w:r>
        <w:rPr>
          <w:sz w:val="20"/>
        </w:rPr>
        <w:t>Récépissé de dépôt au greffe du conseil de prud’hommes</w:t>
      </w:r>
    </w:p>
    <w:p>
      <w:pPr>
        <w:pStyle w:val="ListBullet"/>
        <w:spacing w:after="40"/>
      </w:pPr>
      <w:r>
        <w:rPr>
          <w:sz w:val="20"/>
        </w:rPr>
        <w:t>Preuve de transmission à l’inspection du travail, avec l’avis du comité</w:t>
      </w:r>
    </w:p>
    <w:p>
      <w:pPr>
        <w:pStyle w:val="ListBullet"/>
        <w:spacing w:after="40"/>
      </w:pPr>
      <w:r>
        <w:rPr>
          <w:sz w:val="20"/>
        </w:rPr>
        <w:t>Preuve d’affichage — photographie datée</w:t>
      </w:r>
    </w:p>
    <w:p>
      <w:pPr>
        <w:pStyle w:val="ListBullet"/>
        <w:spacing w:after="40"/>
      </w:pPr>
      <w:r>
        <w:rPr>
          <w:sz w:val="20"/>
        </w:rPr>
        <w:t>Note interne indiquant la date d’entrée en vigueur</w:t>
      </w:r>
    </w:p>
    <w:p>
      <w:r>
        <w:br w:type="page"/>
      </w:r>
    </w:p>
    <w:p>
      <w:pPr>
        <w:spacing w:before="0" w:after="80"/>
      </w:pPr>
      <w:r>
        <w:rPr>
          <w:b/>
          <w:i w:val="0"/>
          <w:color w:val="1F3B57"/>
          <w:sz w:val="32"/>
        </w:rPr>
        <w:t>Action 4 — Faire désigner le référent du comité</w:t>
      </w:r>
    </w:p>
    <w:p>
      <w:pPr>
        <w:spacing w:after="160"/>
        <w:pBdr>
          <w:bottom w:val="single" w:sz="8" w:color="C9A84C"/>
        </w:pBdr>
      </w:pPr>
    </w:p>
    <w:p>
      <w:pPr>
        <w:spacing w:before="0" w:after="60"/>
      </w:pPr>
      <w:r>
        <w:rPr>
          <w:b w:val="0"/>
          <w:i/>
          <w:color w:val="A0842E"/>
          <w:sz w:val="20"/>
        </w:rPr>
        <w:t>Article L.2314-1, dernier alinéa — formation : article L.2315-18</w:t>
      </w:r>
    </w:p>
    <w:p>
      <w:pPr>
        <w:spacing w:before="0" w:after="160"/>
      </w:pPr>
      <w:r>
        <w:rPr>
          <w:b/>
          <w:i w:val="0"/>
          <w:color w:val="1F3B57"/>
          <w:sz w:val="20"/>
        </w:rPr>
        <w:t>Met en œuvre : L.4121-2, 7° — planifier la prévention en y intégrant les relations sociales.</w:t>
      </w:r>
    </w:p>
    <w:p>
      <w:pPr>
        <w:spacing w:before="0" w:after="100"/>
      </w:pPr>
      <w:r>
        <w:rPr>
          <w:b w:val="0"/>
          <w:i w:val="0"/>
          <w:sz w:val="21"/>
        </w:rPr>
        <w:t>C’est la seule des douze actions que l’employeur ne peut pas exécuter lui-même : la désignation appartient au comité. Mais l’absence de référent lui est opposée. Il doit donc la provoquer, et garder la trace de l’avoir provoquée.</w:t>
      </w:r>
    </w:p>
    <w:p>
      <w:pPr>
        <w:spacing w:before="240" w:after="80"/>
      </w:pPr>
      <w:r>
        <w:rPr>
          <w:b/>
          <w:i w:val="0"/>
          <w:color w:val="1F3B57"/>
          <w:sz w:val="25"/>
        </w:rPr>
        <w:t>Ce que le code exige — et ce qu’il n’exige pas</w:t>
      </w:r>
    </w:p>
    <w:p>
      <w:pPr>
        <w:spacing w:before="0" w:after="100"/>
      </w:pPr>
      <w:r>
        <w:rPr>
          <w:b w:val="0"/>
          <w:i w:val="0"/>
          <w:sz w:val="21"/>
        </w:rPr>
        <w:t>Le comité social et économique désigne parmi ses membres, sous la forme d’une résolution adoptée à la majorité des membres présents, un référent en matière de lutte contre le harcèlement sexuel et les agissements sexistes. La désignation vaut pour la durée du mandat.</w:t>
      </w:r>
    </w:p>
    <w:p>
      <w:pPr>
        <w:spacing w:before="0" w:after="100"/>
      </w:pPr>
      <w:r>
        <w:rPr>
          <w:b w:val="0"/>
          <w:i w:val="0"/>
          <w:sz w:val="21"/>
        </w:rPr>
        <w:t>Obligatoire dans toute entreprise dotée d’un comité, quelle que soit sa taille — y compris à onze salariés. Le référent peut être un titulaire ou un suppléant.</w:t>
      </w:r>
    </w:p>
    <w:p>
      <w:pPr>
        <w:spacing w:before="0" w:after="100"/>
      </w:pPr>
      <w:r>
        <w:rPr>
          <w:b/>
          <w:i w:val="0"/>
          <w:sz w:val="21"/>
        </w:rPr>
        <w:t>Ce que le code ne prévoit pas : aucun crédit d’heures propre, aucun moyen dédié. C’est le trou du dispositif. Un référent sans heures et sans formation est une désignation de façade, et elle se voit. Les moyens se donnent donc par accord, par une décision unilatérale écrite, ou dans le règlement intérieur du comité.</w:t>
      </w:r>
    </w:p>
    <w:p>
      <w:pPr>
        <w:spacing w:before="0" w:after="100"/>
      </w:pPr>
      <w:r>
        <w:rPr>
          <w:b w:val="0"/>
          <w:i w:val="0"/>
          <w:sz w:val="21"/>
        </w:rPr>
        <w:t>La formation, en revanche, existe : la formation en santé, sécurité et conditions de travail de l’article L.2315-18 bénéficie aux membres du comité, et son financement est à la charge de l’employeur.</w:t>
      </w:r>
    </w:p>
    <w:p>
      <w:pPr>
        <w:spacing w:before="280" w:after="80"/>
      </w:pPr>
      <w:r>
        <w:rPr>
          <w:b/>
          <w:i w:val="0"/>
          <w:color w:val="1F3B57"/>
          <w:sz w:val="25"/>
        </w:rPr>
        <w:t>Extrait de procès-verbal de désignation — exemple rédigé</w:t>
      </w:r>
    </w:p>
    <w:p>
      <w:pPr>
        <w:spacing w:before="0" w:after="120"/>
      </w:pPr>
      <w:r>
        <w:rPr>
          <w:b w:val="0"/>
          <w:i/>
          <w:color w:val="B23B3B"/>
          <w:sz w:val="19"/>
        </w:rPr>
        <w:t>Exemple pédagogique. Les moyens indiqués ne sont pas imposés par le code : ils relèvent de la négociation ou d’un engagement unilatéral. Les inscrire au procès-verbal les rend opposables.</w:t>
      </w:r>
    </w:p>
    <w:tbl>
      <w:tblPr>
        <w:tblStyle w:val="TableGrid"/>
        <w:tblW w:type="auto" w:w="0"/>
        <w:tblLook w:firstColumn="1" w:firstRow="1" w:lastColumn="0" w:lastRow="0" w:noHBand="0" w:noVBand="1" w:val="04A0"/>
      </w:tblPr>
      <w:tblGrid>
        <w:gridCol w:w="2381"/>
        <w:gridCol w:w="6803"/>
      </w:tblGrid>
      <w:tr>
        <w:tc>
          <w:tcPr>
            <w:tcW w:type="dxa" w:w="4873"/>
          </w:tcPr>
          <w:p>
            <w:r>
              <w:rPr>
                <w:b/>
                <w:sz w:val="18"/>
              </w:rPr>
              <w:t>En-tête</w:t>
            </w:r>
          </w:p>
        </w:tc>
        <w:tc>
          <w:tcPr>
            <w:tcW w:type="dxa" w:w="4873"/>
          </w:tcPr>
          <w:p>
            <w:r>
              <w:rPr>
                <w:b w:val="0"/>
                <w:sz w:val="18"/>
              </w:rPr>
              <w:t>Comité social et économique de [société] — Réunion ordinaire du [date] — Procès-verbal, extrait — Résolution n° [ ].</w:t>
            </w:r>
          </w:p>
        </w:tc>
      </w:tr>
      <w:tr>
        <w:tc>
          <w:tcPr>
            <w:tcW w:type="dxa" w:w="4873"/>
          </w:tcPr>
          <w:p>
            <w:r>
              <w:rPr>
                <w:b/>
                <w:sz w:val="18"/>
              </w:rPr>
              <w:t>Membres présents</w:t>
            </w:r>
          </w:p>
        </w:tc>
        <w:tc>
          <w:tcPr>
            <w:tcW w:type="dxa" w:w="4873"/>
          </w:tcPr>
          <w:p>
            <w:r>
              <w:rPr>
                <w:b w:val="0"/>
                <w:sz w:val="18"/>
              </w:rPr>
              <w:t>[Liste nominative des titulaires et suppléants présents, avec le nombre de membres ayant voix délibérative.]</w:t>
            </w:r>
          </w:p>
        </w:tc>
      </w:tr>
      <w:tr>
        <w:tc>
          <w:tcPr>
            <w:tcW w:type="dxa" w:w="4873"/>
          </w:tcPr>
          <w:p>
            <w:r>
              <w:rPr>
                <w:b/>
                <w:sz w:val="18"/>
              </w:rPr>
              <w:t>Rappel du texte</w:t>
            </w:r>
          </w:p>
        </w:tc>
        <w:tc>
          <w:tcPr>
            <w:tcW w:type="dxa" w:w="4873"/>
          </w:tcPr>
          <w:p>
            <w:r>
              <w:rPr>
                <w:b w:val="0"/>
                <w:sz w:val="18"/>
              </w:rPr>
              <w:t>Vu l’article L.2314-1, dernier alinéa, du code du travail, aux termes duquel un référent en matière de lutte contre le harcèlement sexuel et les agissements sexistes est désigné par le comité social et économique parmi ses membres, sous la forme d’une résolution adoptée à la majorité des membres présents, pour une durée qui prend fin avec celle du mandat des membres élus du comité.</w:t>
            </w:r>
          </w:p>
        </w:tc>
      </w:tr>
      <w:tr>
        <w:tc>
          <w:tcPr>
            <w:tcW w:type="dxa" w:w="4873"/>
          </w:tcPr>
          <w:p>
            <w:r>
              <w:rPr>
                <w:b/>
                <w:sz w:val="18"/>
              </w:rPr>
              <w:t>Candidature</w:t>
            </w:r>
          </w:p>
        </w:tc>
        <w:tc>
          <w:tcPr>
            <w:tcW w:type="dxa" w:w="4873"/>
          </w:tcPr>
          <w:p>
            <w:r>
              <w:rPr>
                <w:b w:val="0"/>
                <w:sz w:val="18"/>
              </w:rPr>
              <w:t>[Nom, prénom], [titulaire / suppléant], collège [ ], établissement [ ], fait acte de candidature.</w:t>
            </w:r>
          </w:p>
        </w:tc>
      </w:tr>
      <w:tr>
        <w:tc>
          <w:tcPr>
            <w:tcW w:type="dxa" w:w="4873"/>
          </w:tcPr>
          <w:p>
            <w:r>
              <w:rPr>
                <w:b/>
                <w:sz w:val="18"/>
              </w:rPr>
              <w:t>Vote</w:t>
            </w:r>
          </w:p>
        </w:tc>
        <w:tc>
          <w:tcPr>
            <w:tcW w:type="dxa" w:w="4873"/>
          </w:tcPr>
          <w:p>
            <w:r>
              <w:rPr>
                <w:b w:val="0"/>
                <w:sz w:val="18"/>
              </w:rPr>
              <w:t>Nombre de membres présents ayant voix délibérative : [n]. Pour : [n]. Contre : [n]. Abstentions : [n]. La résolution est adoptée à la majorité des membres présents.</w:t>
            </w:r>
          </w:p>
        </w:tc>
      </w:tr>
      <w:tr>
        <w:tc>
          <w:tcPr>
            <w:tcW w:type="dxa" w:w="4873"/>
          </w:tcPr>
          <w:p>
            <w:r>
              <w:rPr>
                <w:b/>
                <w:sz w:val="18"/>
              </w:rPr>
              <w:t>Décision</w:t>
            </w:r>
          </w:p>
        </w:tc>
        <w:tc>
          <w:tcPr>
            <w:tcW w:type="dxa" w:w="4873"/>
          </w:tcPr>
          <w:p>
            <w:r>
              <w:rPr>
                <w:b w:val="0"/>
                <w:sz w:val="18"/>
              </w:rPr>
              <w:t>[Nom, prénom] est désigné(e) référent(e) en matière de lutte contre le harcèlement sexuel et les agissements sexistes, pour la durée du mandat en cours, soit jusqu’au [date].</w:t>
            </w:r>
          </w:p>
        </w:tc>
      </w:tr>
      <w:tr>
        <w:tc>
          <w:tcPr>
            <w:tcW w:type="dxa" w:w="4873"/>
          </w:tcPr>
          <w:p>
            <w:r>
              <w:rPr>
                <w:b/>
                <w:sz w:val="18"/>
              </w:rPr>
              <w:t>Moyens actés</w:t>
            </w:r>
          </w:p>
        </w:tc>
        <w:tc>
          <w:tcPr>
            <w:tcW w:type="dxa" w:w="4873"/>
          </w:tcPr>
          <w:p>
            <w:r>
              <w:rPr>
                <w:b w:val="0"/>
                <w:sz w:val="18"/>
              </w:rPr>
              <w:t>[n] heures par mois s’ajoutant au crédit d’heures, prises sur le temps de travail et payées comme temps de travail effectif. Accès à un local permettant un entretien confidentiel. Formation prise en charge par l’employeur, à suivre avant le [date]. Faculté de demander à être reçu(e) par la direction sous [n] jours.</w:t>
            </w:r>
          </w:p>
        </w:tc>
      </w:tr>
      <w:tr>
        <w:tc>
          <w:tcPr>
            <w:tcW w:type="dxa" w:w="4873"/>
          </w:tcPr>
          <w:p>
            <w:r>
              <w:rPr>
                <w:b/>
                <w:sz w:val="18"/>
              </w:rPr>
              <w:t>Publicité</w:t>
            </w:r>
          </w:p>
        </w:tc>
        <w:tc>
          <w:tcPr>
            <w:tcW w:type="dxa" w:w="4873"/>
          </w:tcPr>
          <w:p>
            <w:r>
              <w:rPr>
                <w:b w:val="0"/>
                <w:sz w:val="18"/>
              </w:rPr>
              <w:t>Le nom, la fonction, le courriel et le téléphone du référent sont portés sur l’affichage de l’action 2, dans le livret d’accueil de l’action 10 et sur l’intranet, dans les [n] jours.</w:t>
            </w:r>
          </w:p>
        </w:tc>
      </w:tr>
      <w:tr>
        <w:tc>
          <w:tcPr>
            <w:tcW w:type="dxa" w:w="4873"/>
          </w:tcPr>
          <w:p>
            <w:r>
              <w:rPr>
                <w:b/>
                <w:sz w:val="18"/>
              </w:rPr>
              <w:t>Signatures</w:t>
            </w:r>
          </w:p>
        </w:tc>
        <w:tc>
          <w:tcPr>
            <w:tcW w:type="dxa" w:w="4873"/>
          </w:tcPr>
          <w:p>
            <w:r>
              <w:rPr>
                <w:b w:val="0"/>
                <w:sz w:val="18"/>
              </w:rPr>
              <w:t>Le secrétaire du comité — Le président du comité — Date.</w:t>
            </w:r>
          </w:p>
        </w:tc>
      </w:tr>
    </w:tbl>
    <w:p>
      <w:pPr>
        <w:spacing w:before="240" w:after="80"/>
      </w:pPr>
      <w:r>
        <w:rPr>
          <w:b/>
          <w:i w:val="0"/>
          <w:color w:val="1F3B57"/>
          <w:sz w:val="25"/>
        </w:rPr>
        <w:t>Les erreurs qui annulent l’action</w:t>
      </w:r>
    </w:p>
    <w:p>
      <w:pPr>
        <w:pStyle w:val="ListBullet"/>
        <w:spacing w:after="40"/>
      </w:pPr>
      <w:r>
        <w:rPr>
          <w:sz w:val="20"/>
        </w:rPr>
        <w:t>Aucun référent désigné parce que « personne ne s’est proposé » — c’est à l’employeur de porter le point à l’ordre du jour, et de le refaire porter.</w:t>
      </w:r>
    </w:p>
    <w:p>
      <w:pPr>
        <w:pStyle w:val="ListBullet"/>
        <w:spacing w:after="40"/>
      </w:pPr>
      <w:r>
        <w:rPr>
          <w:sz w:val="20"/>
        </w:rPr>
        <w:t>Un référent désigné par l’employeur au lieu du comité : la désignation est irrégulière.</w:t>
      </w:r>
    </w:p>
    <w:p>
      <w:pPr>
        <w:pStyle w:val="ListBullet"/>
        <w:spacing w:after="40"/>
      </w:pPr>
      <w:r>
        <w:rPr>
          <w:sz w:val="20"/>
        </w:rPr>
        <w:t>Une désignation sans résolution votée, mentionnée en simple « information diverse ».</w:t>
      </w:r>
    </w:p>
    <w:p>
      <w:pPr>
        <w:pStyle w:val="ListBullet"/>
        <w:spacing w:after="40"/>
      </w:pPr>
      <w:r>
        <w:rPr>
          <w:sz w:val="20"/>
        </w:rPr>
        <w:t>Un référent jamais formé, jamais reçu, dont personne dans l’entreprise ne connaît le nom.</w:t>
      </w:r>
    </w:p>
    <w:p>
      <w:pPr>
        <w:pStyle w:val="ListBullet"/>
        <w:spacing w:after="40"/>
      </w:pPr>
      <w:r>
        <w:rPr>
          <w:sz w:val="20"/>
        </w:rPr>
        <w:t>Un référent qui quitte l’entreprise ou perd son mandat sans être remplacé.</w:t>
      </w:r>
    </w:p>
    <w:p>
      <w:pPr>
        <w:spacing w:before="240" w:after="80"/>
      </w:pPr>
      <w:r>
        <w:rPr>
          <w:b/>
          <w:i w:val="0"/>
          <w:color w:val="1F3B57"/>
          <w:sz w:val="25"/>
        </w:rPr>
        <w:t>Ce que l’action produit — les pièces à conserver</w:t>
      </w:r>
    </w:p>
    <w:p>
      <w:pPr>
        <w:pStyle w:val="ListBullet"/>
        <w:spacing w:after="40"/>
      </w:pPr>
      <w:r>
        <w:rPr>
          <w:sz w:val="20"/>
        </w:rPr>
        <w:t>Extrait du procès-verbal de désignation, avec le résultat du vote</w:t>
      </w:r>
    </w:p>
    <w:p>
      <w:pPr>
        <w:pStyle w:val="ListBullet"/>
        <w:spacing w:after="40"/>
      </w:pPr>
      <w:r>
        <w:rPr>
          <w:sz w:val="20"/>
        </w:rPr>
        <w:t>Ordre du jour de la réunion — preuve que le point a été porté</w:t>
      </w:r>
    </w:p>
    <w:p>
      <w:pPr>
        <w:pStyle w:val="ListBullet"/>
        <w:spacing w:after="40"/>
      </w:pPr>
      <w:r>
        <w:rPr>
          <w:sz w:val="20"/>
        </w:rPr>
        <w:t>Note diffusée avec le nom, la fonction et les coordonnées</w:t>
      </w:r>
    </w:p>
    <w:p>
      <w:pPr>
        <w:pStyle w:val="ListBullet"/>
        <w:spacing w:after="40"/>
      </w:pPr>
      <w:r>
        <w:rPr>
          <w:sz w:val="20"/>
        </w:rPr>
        <w:t>Attestation de formation</w:t>
      </w:r>
    </w:p>
    <w:p>
      <w:pPr>
        <w:pStyle w:val="ListBullet"/>
        <w:spacing w:after="40"/>
      </w:pPr>
      <w:r>
        <w:rPr>
          <w:sz w:val="20"/>
        </w:rPr>
        <w:t>Trace des relances si le comité n’a pas désigné</w:t>
      </w:r>
    </w:p>
    <w:p>
      <w:r>
        <w:br w:type="page"/>
      </w:r>
    </w:p>
    <w:p>
      <w:pPr>
        <w:spacing w:before="0" w:after="80"/>
      </w:pPr>
      <w:r>
        <w:rPr>
          <w:b/>
          <w:i w:val="0"/>
          <w:color w:val="1F3B57"/>
          <w:sz w:val="32"/>
        </w:rPr>
        <w:t>Action 5 — Désigner le référent de l’employeur</w:t>
      </w:r>
    </w:p>
    <w:p>
      <w:pPr>
        <w:spacing w:after="160"/>
        <w:pBdr>
          <w:bottom w:val="single" w:sz="8" w:color="C9A84C"/>
        </w:pBdr>
      </w:pPr>
    </w:p>
    <w:p>
      <w:pPr>
        <w:spacing w:before="0" w:after="60"/>
      </w:pPr>
      <w:r>
        <w:rPr>
          <w:b w:val="0"/>
          <w:i/>
          <w:color w:val="A0842E"/>
          <w:sz w:val="20"/>
        </w:rPr>
        <w:t>Article L.1153-5-1 — entreprises d’au moins deux cent cinquante salariés</w:t>
      </w:r>
    </w:p>
    <w:p>
      <w:pPr>
        <w:spacing w:before="0" w:after="160"/>
      </w:pPr>
      <w:r>
        <w:rPr>
          <w:b/>
          <w:i w:val="0"/>
          <w:color w:val="1F3B57"/>
          <w:sz w:val="20"/>
        </w:rPr>
        <w:t>Met en œuvre : L.4121-2, 3° — combattre les risques à la source, en identifiant un point d’entrée qui reçoit tôt ; et 9° — donner les instructions appropriées.</w:t>
      </w:r>
    </w:p>
    <w:p>
      <w:pPr>
        <w:spacing w:before="0" w:after="100"/>
      </w:pPr>
      <w:r>
        <w:rPr>
          <w:b w:val="0"/>
          <w:i w:val="0"/>
          <w:sz w:val="21"/>
        </w:rPr>
        <w:t>Ce référent est celui de l’employeur, distinct de celui du comité. Les deux coexistent : ils ne se remplacent pas.</w:t>
      </w:r>
    </w:p>
    <w:p>
      <w:pPr>
        <w:spacing w:before="240" w:after="80"/>
      </w:pPr>
      <w:r>
        <w:rPr>
          <w:b/>
          <w:i w:val="0"/>
          <w:color w:val="1F3B57"/>
          <w:sz w:val="25"/>
        </w:rPr>
        <w:t>Ce que le code exige — et ce qu’il n’exige pas</w:t>
      </w:r>
    </w:p>
    <w:p>
      <w:pPr>
        <w:spacing w:before="0" w:after="100"/>
      </w:pPr>
      <w:r>
        <w:rPr>
          <w:b w:val="0"/>
          <w:i w:val="0"/>
          <w:sz w:val="21"/>
        </w:rPr>
        <w:t>Dans toute entreprise employant au moins deux cent cinquante salariés est désigné un référent chargé d’orienter, d’informer et d’accompagner les salariés en matière de lutte contre le harcèlement sexuel et les agissements sexistes.</w:t>
      </w:r>
    </w:p>
    <w:p>
      <w:pPr>
        <w:spacing w:before="0" w:after="100"/>
      </w:pPr>
      <w:r>
        <w:rPr>
          <w:b/>
          <w:i w:val="0"/>
          <w:sz w:val="21"/>
        </w:rPr>
        <w:t>Le texte ne vise que le harcèlement sexuel et les agissements sexistes. Étendre sa mission au harcèlement moral est un choix d’entreprise, pas une obligation — mais c’est le choix que nous recommandons, et il doit alors être écrit dans la lettre de mission. Un salarié ne fait pas le tri entre les qualifications avant de parler.</w:t>
      </w:r>
    </w:p>
    <w:p>
      <w:pPr>
        <w:spacing w:before="0" w:after="100"/>
      </w:pPr>
      <w:r>
        <w:rPr>
          <w:b w:val="0"/>
          <w:i w:val="0"/>
          <w:sz w:val="21"/>
        </w:rPr>
        <w:t>Ce que le code ne dit pas : ni qui désigner, ni comment, ni avec quels moyens, ni pour combien de temps. Tout cela se décide et s’écrit.</w:t>
      </w:r>
    </w:p>
    <w:p>
      <w:pPr>
        <w:spacing w:before="240" w:after="80"/>
      </w:pPr>
      <w:r>
        <w:rPr>
          <w:b/>
          <w:i w:val="0"/>
          <w:color w:val="1F3B57"/>
          <w:sz w:val="25"/>
        </w:rPr>
        <w:t>Qui désigner</w:t>
      </w:r>
    </w:p>
    <w:p>
      <w:pPr>
        <w:pStyle w:val="ListBullet"/>
        <w:spacing w:after="40"/>
      </w:pPr>
      <w:r>
        <w:rPr>
          <w:sz w:val="20"/>
        </w:rPr>
        <w:t>Une personne accessible, dont le poste n’est pas dans la ligne hiérarchique directe des équipes les plus exposées.</w:t>
      </w:r>
    </w:p>
    <w:p>
      <w:pPr>
        <w:pStyle w:val="ListBullet"/>
        <w:spacing w:after="40"/>
      </w:pPr>
      <w:r>
        <w:rPr>
          <w:sz w:val="20"/>
        </w:rPr>
        <w:t>Capable de tenir une information confidentielle, y compris vis-à-vis de sa propre hiérarchie.</w:t>
      </w:r>
    </w:p>
    <w:p>
      <w:pPr>
        <w:pStyle w:val="ListBullet"/>
        <w:spacing w:after="40"/>
      </w:pPr>
      <w:r>
        <w:rPr>
          <w:sz w:val="20"/>
        </w:rPr>
        <w:t>Le directeur des ressources humaines n’est pas toujours le bon choix : il est aussi celui qui sanctionne, et le salarié le sait.</w:t>
      </w:r>
    </w:p>
    <w:p>
      <w:pPr>
        <w:pStyle w:val="ListBullet"/>
        <w:spacing w:after="40"/>
      </w:pPr>
      <w:r>
        <w:rPr>
          <w:sz w:val="20"/>
        </w:rPr>
        <w:t>Dans une entreprise multisite, un référent par site ou un binôme : un référent unique à 900 kilomètres n’est pas accessible.</w:t>
      </w:r>
    </w:p>
    <w:p>
      <w:pPr>
        <w:pStyle w:val="ListBullet"/>
        <w:spacing w:after="40"/>
      </w:pPr>
      <w:r>
        <w:rPr>
          <w:sz w:val="20"/>
        </w:rPr>
        <w:t>Prévoir un suppléant — l’absence du référent ne suspend pas les délais.</w:t>
      </w:r>
    </w:p>
    <w:p>
      <w:pPr>
        <w:spacing w:before="280" w:after="80"/>
      </w:pPr>
      <w:r>
        <w:rPr>
          <w:b/>
          <w:i w:val="0"/>
          <w:color w:val="1F3B57"/>
          <w:sz w:val="25"/>
        </w:rPr>
        <w:t>Lettre de mission du référent — exemple rédigé</w:t>
      </w:r>
    </w:p>
    <w:p>
      <w:pPr>
        <w:spacing w:before="0" w:after="120"/>
      </w:pPr>
      <w:r>
        <w:rPr>
          <w:b w:val="0"/>
          <w:i/>
          <w:color w:val="B23B3B"/>
          <w:sz w:val="19"/>
        </w:rPr>
        <w:t>Exemple pédagogique. Les durées et volumes horaires sont des ordres de grandeur : ils doivent être calibrés sur votre effectif et votre nombre de sites.</w:t>
      </w:r>
    </w:p>
    <w:tbl>
      <w:tblPr>
        <w:tblStyle w:val="TableGrid"/>
        <w:tblW w:type="auto" w:w="0"/>
        <w:tblLook w:firstColumn="1" w:firstRow="1" w:lastColumn="0" w:lastRow="0" w:noHBand="0" w:noVBand="1" w:val="04A0"/>
      </w:tblPr>
      <w:tblGrid>
        <w:gridCol w:w="2381"/>
        <w:gridCol w:w="6803"/>
      </w:tblGrid>
      <w:tr>
        <w:tc>
          <w:tcPr>
            <w:tcW w:type="dxa" w:w="4873"/>
          </w:tcPr>
          <w:p>
            <w:r>
              <w:rPr>
                <w:b/>
                <w:sz w:val="18"/>
              </w:rPr>
              <w:t>Objet</w:t>
            </w:r>
          </w:p>
        </w:tc>
        <w:tc>
          <w:tcPr>
            <w:tcW w:type="dxa" w:w="4873"/>
          </w:tcPr>
          <w:p>
            <w:r>
              <w:rPr>
                <w:b w:val="0"/>
                <w:sz w:val="18"/>
              </w:rPr>
              <w:t>Désignation en qualité de référent en matière de lutte contre le harcèlement sexuel et les agissements sexistes — article L.1153-5-1 du code du travail.</w:t>
            </w:r>
          </w:p>
        </w:tc>
      </w:tr>
      <w:tr>
        <w:tc>
          <w:tcPr>
            <w:tcW w:type="dxa" w:w="4873"/>
          </w:tcPr>
          <w:p>
            <w:r>
              <w:rPr>
                <w:b/>
                <w:sz w:val="18"/>
              </w:rPr>
              <w:t>Périmètre</w:t>
            </w:r>
          </w:p>
        </w:tc>
        <w:tc>
          <w:tcPr>
            <w:tcW w:type="dxa" w:w="4873"/>
          </w:tcPr>
          <w:p>
            <w:r>
              <w:rPr>
                <w:b w:val="0"/>
                <w:sz w:val="18"/>
              </w:rPr>
              <w:t>Orienter, informer et accompagner les salariés. Par décision de l’entreprise, la mission est étendue au harcèlement moral. Elle couvre [périmètre : société, établissements, sites].</w:t>
            </w:r>
          </w:p>
        </w:tc>
      </w:tr>
      <w:tr>
        <w:tc>
          <w:tcPr>
            <w:tcW w:type="dxa" w:w="4873"/>
          </w:tcPr>
          <w:p>
            <w:r>
              <w:rPr>
                <w:b/>
                <w:sz w:val="18"/>
              </w:rPr>
              <w:t>Ce que le référent fait</w:t>
            </w:r>
          </w:p>
        </w:tc>
        <w:tc>
          <w:tcPr>
            <w:tcW w:type="dxa" w:w="4873"/>
          </w:tcPr>
          <w:p>
            <w:r>
              <w:rPr>
                <w:b w:val="0"/>
                <w:sz w:val="18"/>
              </w:rPr>
              <w:t>Recevoir tout salarié qui le demande, sous [n] jours ouvrés. Écouter, prendre des notes factuelles et datées, informer la personne de ses droits et de la procédure. Transmettre immédiatement à la direction lorsqu’un signalement est formé. Participer, le cas échéant, à la commission d’enquête.</w:t>
            </w:r>
          </w:p>
        </w:tc>
      </w:tr>
      <w:tr>
        <w:tc>
          <w:tcPr>
            <w:tcW w:type="dxa" w:w="4873"/>
          </w:tcPr>
          <w:p>
            <w:r>
              <w:rPr>
                <w:b/>
                <w:sz w:val="18"/>
              </w:rPr>
              <w:t>Ce que le référent ne fait pas</w:t>
            </w:r>
          </w:p>
        </w:tc>
        <w:tc>
          <w:tcPr>
            <w:tcW w:type="dxa" w:w="4873"/>
          </w:tcPr>
          <w:p>
            <w:r>
              <w:rPr>
                <w:b w:val="0"/>
                <w:sz w:val="18"/>
              </w:rPr>
              <w:t>Il ne qualifie pas juridiquement les faits. Il n’arbitre pas. Il ne décide d’aucune sanction. Il ne mène pas seul une enquête. Il ne promet jamais l’anonymat.</w:t>
            </w:r>
          </w:p>
        </w:tc>
      </w:tr>
      <w:tr>
        <w:tc>
          <w:tcPr>
            <w:tcW w:type="dxa" w:w="4873"/>
          </w:tcPr>
          <w:p>
            <w:r>
              <w:rPr>
                <w:b/>
                <w:sz w:val="18"/>
              </w:rPr>
              <w:t>Moyens</w:t>
            </w:r>
          </w:p>
        </w:tc>
        <w:tc>
          <w:tcPr>
            <w:tcW w:type="dxa" w:w="4873"/>
          </w:tcPr>
          <w:p>
            <w:r>
              <w:rPr>
                <w:b w:val="0"/>
                <w:sz w:val="18"/>
              </w:rPr>
              <w:t>[n] heures par mois identifiées dans sa charge de travail. Un local permettant un entretien confidentiel. Une ligne téléphonique et une adresse de courriel dédiées, à accès personnel. Formation de deux jours (action 8) avant le [date], puis actualisation tous les deux ans.</w:t>
            </w:r>
          </w:p>
        </w:tc>
      </w:tr>
      <w:tr>
        <w:tc>
          <w:tcPr>
            <w:tcW w:type="dxa" w:w="4873"/>
          </w:tcPr>
          <w:p>
            <w:r>
              <w:rPr>
                <w:b/>
                <w:sz w:val="18"/>
              </w:rPr>
              <w:t>Confidentialité</w:t>
            </w:r>
          </w:p>
        </w:tc>
        <w:tc>
          <w:tcPr>
            <w:tcW w:type="dxa" w:w="4873"/>
          </w:tcPr>
          <w:p>
            <w:r>
              <w:rPr>
                <w:b w:val="0"/>
                <w:sz w:val="18"/>
              </w:rPr>
              <w:t>Les notes et comptes rendus sont conservés sous clé ou dans un espace numérique à accès restreint et tracé, distinct des dossiers du personnel. Le référent est tenu à la discrétion, y compris envers sa hiérarchie, sous la seule réserve de l’obligation d’informer la direction de tout signalement.</w:t>
            </w:r>
          </w:p>
        </w:tc>
      </w:tr>
      <w:tr>
        <w:tc>
          <w:tcPr>
            <w:tcW w:type="dxa" w:w="4873"/>
          </w:tcPr>
          <w:p>
            <w:r>
              <w:rPr>
                <w:b/>
                <w:sz w:val="18"/>
              </w:rPr>
              <w:t>Articulation</w:t>
            </w:r>
          </w:p>
        </w:tc>
        <w:tc>
          <w:tcPr>
            <w:tcW w:type="dxa" w:w="4873"/>
          </w:tcPr>
          <w:p>
            <w:r>
              <w:rPr>
                <w:b w:val="0"/>
                <w:sz w:val="18"/>
              </w:rPr>
              <w:t>Avec le référent du comité : information réciproque des signalements, sans nom lorsque la personne s’y oppose. Avec le service de prévention et de santé au travail : saisine directe en cas d’urgence. Avec la direction : point mensuel, et alerte immédiate si la santé est en jeu.</w:t>
            </w:r>
          </w:p>
        </w:tc>
      </w:tr>
      <w:tr>
        <w:tc>
          <w:tcPr>
            <w:tcW w:type="dxa" w:w="4873"/>
          </w:tcPr>
          <w:p>
            <w:r>
              <w:rPr>
                <w:b/>
                <w:sz w:val="18"/>
              </w:rPr>
              <w:t>Protection</w:t>
            </w:r>
          </w:p>
        </w:tc>
        <w:tc>
          <w:tcPr>
            <w:tcW w:type="dxa" w:w="4873"/>
          </w:tcPr>
          <w:p>
            <w:r>
              <w:rPr>
                <w:b w:val="0"/>
                <w:sz w:val="18"/>
              </w:rPr>
              <w:t>L’exercice de cette mission ne peut donner lieu à aucune mesure défavorable. Elle est prise en compte dans l’évaluation annuelle et n’ouvre droit à aucune réduction d’objectifs implicite : les objectifs sont ajustés par écrit.</w:t>
            </w:r>
          </w:p>
        </w:tc>
      </w:tr>
      <w:tr>
        <w:tc>
          <w:tcPr>
            <w:tcW w:type="dxa" w:w="4873"/>
          </w:tcPr>
          <w:p>
            <w:r>
              <w:rPr>
                <w:b/>
                <w:sz w:val="18"/>
              </w:rPr>
              <w:t>Durée</w:t>
            </w:r>
          </w:p>
        </w:tc>
        <w:tc>
          <w:tcPr>
            <w:tcW w:type="dxa" w:w="4873"/>
          </w:tcPr>
          <w:p>
            <w:r>
              <w:rPr>
                <w:b w:val="0"/>
                <w:sz w:val="18"/>
              </w:rPr>
              <w:t>Deux ans, renouvelable. Fin de mission notifiée par écrit, avec désignation d’un successeur avant la date d’effet.</w:t>
            </w:r>
          </w:p>
        </w:tc>
      </w:tr>
      <w:tr>
        <w:tc>
          <w:tcPr>
            <w:tcW w:type="dxa" w:w="4873"/>
          </w:tcPr>
          <w:p>
            <w:r>
              <w:rPr>
                <w:b/>
                <w:sz w:val="18"/>
              </w:rPr>
              <w:t>Signatures</w:t>
            </w:r>
          </w:p>
        </w:tc>
        <w:tc>
          <w:tcPr>
            <w:tcW w:type="dxa" w:w="4873"/>
          </w:tcPr>
          <w:p>
            <w:r>
              <w:rPr>
                <w:b w:val="0"/>
                <w:sz w:val="18"/>
              </w:rPr>
              <w:t>L’employeur — Le référent, pour acceptation — Date.</w:t>
            </w:r>
          </w:p>
        </w:tc>
      </w:tr>
    </w:tbl>
    <w:p>
      <w:pPr>
        <w:spacing w:before="240" w:after="80"/>
      </w:pPr>
      <w:r>
        <w:rPr>
          <w:b/>
          <w:i w:val="0"/>
          <w:color w:val="1F3B57"/>
          <w:sz w:val="25"/>
        </w:rPr>
        <w:t>Les erreurs qui annulent l’action</w:t>
      </w:r>
    </w:p>
    <w:p>
      <w:pPr>
        <w:pStyle w:val="ListBullet"/>
        <w:spacing w:after="40"/>
      </w:pPr>
      <w:r>
        <w:rPr>
          <w:sz w:val="20"/>
        </w:rPr>
        <w:t>Une désignation annoncée en réunion et jamais écrite.</w:t>
      </w:r>
    </w:p>
    <w:p>
      <w:pPr>
        <w:pStyle w:val="ListBullet"/>
        <w:spacing w:after="40"/>
      </w:pPr>
      <w:r>
        <w:rPr>
          <w:sz w:val="20"/>
        </w:rPr>
        <w:t>Un référent dont le nom ne figure ni sur l’affichage, ni dans le livret d’accueil.</w:t>
      </w:r>
    </w:p>
    <w:p>
      <w:pPr>
        <w:pStyle w:val="ListBullet"/>
        <w:spacing w:after="40"/>
      </w:pPr>
      <w:r>
        <w:rPr>
          <w:sz w:val="20"/>
        </w:rPr>
        <w:t>Un référent jamais formé, qui promet le secret au premier entretien.</w:t>
      </w:r>
    </w:p>
    <w:p>
      <w:pPr>
        <w:pStyle w:val="ListBullet"/>
        <w:spacing w:after="40"/>
      </w:pPr>
      <w:r>
        <w:rPr>
          <w:sz w:val="20"/>
        </w:rPr>
        <w:t>Un référent qui est aussi le supérieur hiérarchique de la moitié de l’effectif.</w:t>
      </w:r>
    </w:p>
    <w:p>
      <w:pPr>
        <w:pStyle w:val="ListBullet"/>
        <w:spacing w:after="40"/>
      </w:pPr>
      <w:r>
        <w:rPr>
          <w:sz w:val="20"/>
        </w:rPr>
        <w:t>Aucun point annuel : personne ne sait combien de signalements ont été reçus, ni ce qu’ils sont devenus.</w:t>
      </w:r>
    </w:p>
    <w:p>
      <w:pPr>
        <w:spacing w:before="240" w:after="80"/>
      </w:pPr>
      <w:r>
        <w:rPr>
          <w:b/>
          <w:i w:val="0"/>
          <w:color w:val="1F3B57"/>
          <w:sz w:val="25"/>
        </w:rPr>
        <w:t>Ce que l’action produit — les pièces à conserver</w:t>
      </w:r>
    </w:p>
    <w:p>
      <w:pPr>
        <w:pStyle w:val="ListBullet"/>
        <w:spacing w:after="40"/>
      </w:pPr>
      <w:r>
        <w:rPr>
          <w:sz w:val="20"/>
        </w:rPr>
        <w:t>Note de désignation datée et diffusée</w:t>
      </w:r>
    </w:p>
    <w:p>
      <w:pPr>
        <w:pStyle w:val="ListBullet"/>
        <w:spacing w:after="40"/>
      </w:pPr>
      <w:r>
        <w:rPr>
          <w:sz w:val="20"/>
        </w:rPr>
        <w:t>Lettre de mission signée des deux parties</w:t>
      </w:r>
    </w:p>
    <w:p>
      <w:pPr>
        <w:pStyle w:val="ListBullet"/>
        <w:spacing w:after="40"/>
      </w:pPr>
      <w:r>
        <w:rPr>
          <w:sz w:val="20"/>
        </w:rPr>
        <w:t>Attestation de formation</w:t>
      </w:r>
    </w:p>
    <w:p>
      <w:pPr>
        <w:pStyle w:val="ListBullet"/>
        <w:spacing w:after="40"/>
      </w:pPr>
      <w:r>
        <w:rPr>
          <w:sz w:val="20"/>
        </w:rPr>
        <w:t>Compte rendu du point annuel avec la direction</w:t>
      </w:r>
    </w:p>
    <w:p>
      <w:pPr>
        <w:pStyle w:val="ListBullet"/>
        <w:spacing w:after="40"/>
      </w:pPr>
      <w:r>
        <w:rPr>
          <w:sz w:val="20"/>
        </w:rPr>
        <w:t>Preuve de publicité : affichage, intranet, livret d’accueil</w:t>
      </w:r>
    </w:p>
    <w:p>
      <w:r>
        <w:br w:type="page"/>
      </w:r>
    </w:p>
    <w:p>
      <w:pPr>
        <w:spacing w:before="0" w:after="80"/>
      </w:pPr>
      <w:r>
        <w:rPr>
          <w:b/>
          <w:i w:val="0"/>
          <w:color w:val="1F3B57"/>
          <w:sz w:val="32"/>
        </w:rPr>
        <w:t>Action 6 — Écrire et diffuser la procédure de signalement</w:t>
      </w:r>
    </w:p>
    <w:p>
      <w:pPr>
        <w:spacing w:after="160"/>
        <w:pBdr>
          <w:bottom w:val="single" w:sz="8" w:color="C9A84C"/>
        </w:pBdr>
      </w:pPr>
    </w:p>
    <w:p>
      <w:pPr>
        <w:spacing w:before="0" w:after="60"/>
      </w:pPr>
      <w:r>
        <w:rPr>
          <w:b w:val="0"/>
          <w:i/>
          <w:color w:val="A0842E"/>
          <w:sz w:val="20"/>
        </w:rPr>
        <w:t>Articles L.1152-4, L.1153-5 et L.4121-1 (3°)</w:t>
      </w:r>
    </w:p>
    <w:p>
      <w:pPr>
        <w:spacing w:before="0" w:after="160"/>
      </w:pPr>
      <w:r>
        <w:rPr>
          <w:b/>
          <w:i w:val="0"/>
          <w:color w:val="1F3B57"/>
          <w:sz w:val="20"/>
        </w:rPr>
        <w:t>Met en œuvre : L.4121-2, 7° — planifier la prévention dans un ensemble cohérent ; et 8° — donner la priorité aux mesures de protection collective.</w:t>
      </w:r>
    </w:p>
    <w:p>
      <w:pPr>
        <w:spacing w:before="0" w:after="100"/>
      </w:pPr>
      <w:r>
        <w:rPr>
          <w:b w:val="0"/>
          <w:i w:val="0"/>
          <w:sz w:val="21"/>
        </w:rPr>
        <w:t>C’est le principe 8° qui commande cette action : un dispositif qui vaut pour tous, écrit d’avance, plutôt qu’un traitement improvisé au cas par cas. Une entreprise qui gère ses dossiers un par un, sans procédure, prend le principe à l’envers.</w:t>
      </w:r>
    </w:p>
    <w:p>
      <w:pPr>
        <w:spacing w:before="240" w:after="80"/>
      </w:pPr>
      <w:r>
        <w:rPr>
          <w:b/>
          <w:i w:val="0"/>
          <w:color w:val="1F3B57"/>
          <w:sz w:val="25"/>
        </w:rPr>
        <w:t>Ce que le code exige — et ce qu’il n’exige pas</w:t>
      </w:r>
    </w:p>
    <w:p>
      <w:pPr>
        <w:spacing w:before="0" w:after="100"/>
      </w:pPr>
      <w:r>
        <w:rPr>
          <w:b/>
          <w:i w:val="0"/>
          <w:sz w:val="21"/>
        </w:rPr>
        <w:t>Le code n’impose pas de procédure de signalement rédigée en matière de harcèlement. Il impose de prendre les mesures nécessaires pour prévenir les agissements (L.1152-4, L.1153-5) et de mettre en place « une organisation et des moyens adaptés » (L.4121-1, 3°). La procédure écrite est la forme que prend cette organisation, et c’est celle qui se prouve.</w:t>
      </w:r>
    </w:p>
    <w:p>
      <w:pPr>
        <w:spacing w:before="0" w:after="100"/>
      </w:pPr>
      <w:r>
        <w:rPr>
          <w:b w:val="0"/>
          <w:i w:val="0"/>
          <w:sz w:val="21"/>
        </w:rPr>
        <w:t>À ne pas confondre avec le dispositif de recueil des signalements des lanceurs d’alerte, obligatoire dans les entreprises d’au moins cinquante salariés depuis la loi du 21 mars 2022. Ce sont deux dispositifs distincts, avec deux régimes de protection différents. Ils doivent s’articuler et se renvoyer l’un à l’autre — les faire cohabiter sans les relier produit des signalements perdus entre les deux.</w:t>
      </w:r>
    </w:p>
    <w:p>
      <w:pPr>
        <w:spacing w:before="240" w:after="80"/>
      </w:pPr>
      <w:r>
        <w:rPr>
          <w:b/>
          <w:i w:val="0"/>
          <w:color w:val="1F3B57"/>
          <w:sz w:val="25"/>
        </w:rPr>
        <w:t>Les cinq points qui font la procédure</w:t>
      </w:r>
    </w:p>
    <w:p>
      <w:pPr>
        <w:spacing w:before="0" w:after="100"/>
      </w:pPr>
      <w:r>
        <w:rPr>
          <w:b w:val="0"/>
          <w:i w:val="0"/>
          <w:sz w:val="21"/>
        </w:rPr>
        <w:t>1. Plusieurs portes d’entrée, jamais une seule. Supérieur hiérarchique, direction des ressources humaines, référent de l’employeur, référent du comité, tout élu, service de prévention et de santé au travail, inspection du travail. Écrire noir sur blanc que le salarié peut contourner sa hiérarchie.</w:t>
      </w:r>
    </w:p>
    <w:p>
      <w:pPr>
        <w:spacing w:before="0" w:after="100"/>
      </w:pPr>
      <w:r>
        <w:rPr>
          <w:b w:val="0"/>
          <w:i w:val="0"/>
          <w:sz w:val="21"/>
        </w:rPr>
        <w:t>2. Des délais écrits, et tenus. Accusé de réception sous quarante-huit heures, entretien de recueil sous huit jours, première mesure sous huit jours. C’est ce qui donne un contenu vérifiable à la « réaction immédiate » que la jurisprudence exige. Un délai écrit et dépassé est pire que pas de délai : il mesure le retard.</w:t>
      </w:r>
    </w:p>
    <w:p>
      <w:pPr>
        <w:spacing w:before="0" w:after="100"/>
      </w:pPr>
      <w:r>
        <w:rPr>
          <w:b w:val="0"/>
          <w:i w:val="0"/>
          <w:sz w:val="21"/>
        </w:rPr>
        <w:t>3. Les mesures conservatoires. Séparer sans sanctionner. Ne jamais déplacer la victime contre son gré — c’est régulièrement retenu comme un élément supplémentaire de harcèlement. Mise à pied conservatoire de l’auteur présumé si les faits sont graves : mesure d’attente, pas sanction.</w:t>
      </w:r>
    </w:p>
    <w:p>
      <w:pPr>
        <w:spacing w:before="0" w:after="100"/>
      </w:pPr>
      <w:r>
        <w:rPr>
          <w:b w:val="0"/>
          <w:i w:val="0"/>
          <w:sz w:val="21"/>
        </w:rPr>
        <w:t>4. La confidentialité, décrite et non promise. Qui sait quoi, où se tiennent les entretiens, comment les notes sont conservées, ce qui est dit à l’équipe — c’est-à-dire rien. Une rumeur qui part de l’enquête est imputable à l’employeur.</w:t>
      </w:r>
    </w:p>
    <w:p>
      <w:pPr>
        <w:spacing w:before="0" w:after="100"/>
      </w:pPr>
      <w:r>
        <w:rPr>
          <w:b w:val="0"/>
          <w:i w:val="0"/>
          <w:sz w:val="21"/>
        </w:rPr>
        <w:t>5. La protection du salarié qui signale, écrite en toutes lettres. C’est la clause qui délie les langues, et celle que les salariés lisent en premier.</w:t>
      </w:r>
    </w:p>
    <w:p>
      <w:pPr>
        <w:spacing w:before="280" w:after="80"/>
      </w:pPr>
      <w:r>
        <w:rPr>
          <w:b/>
          <w:i w:val="0"/>
          <w:color w:val="1F3B57"/>
          <w:sz w:val="25"/>
        </w:rPr>
        <w:t>La procédure, en une page — exemple rédigé</w:t>
      </w:r>
    </w:p>
    <w:p>
      <w:pPr>
        <w:spacing w:before="0" w:after="120"/>
      </w:pPr>
      <w:r>
        <w:rPr>
          <w:b w:val="0"/>
          <w:i/>
          <w:color w:val="B23B3B"/>
          <w:sz w:val="19"/>
        </w:rPr>
        <w:t>Exemple pédagogique. Les délais proposés — 48 heures, 8 jours, 3 mois — sont des engagements d’entreprise, pas des délais légaux. Ne les écrivez que si vous pouvez les tenir : un délai annoncé et dépassé se retourne contre vous.</w:t>
      </w:r>
    </w:p>
    <w:tbl>
      <w:tblPr>
        <w:tblStyle w:val="TableGrid"/>
        <w:tblW w:type="auto" w:w="0"/>
        <w:tblLook w:firstColumn="1" w:firstRow="1" w:lastColumn="0" w:lastRow="0" w:noHBand="0" w:noVBand="1" w:val="04A0"/>
      </w:tblPr>
      <w:tblGrid>
        <w:gridCol w:w="2381"/>
        <w:gridCol w:w="6803"/>
      </w:tblGrid>
      <w:tr>
        <w:tc>
          <w:tcPr>
            <w:tcW w:type="dxa" w:w="4873"/>
          </w:tcPr>
          <w:p>
            <w:r>
              <w:rPr>
                <w:b/>
                <w:sz w:val="18"/>
              </w:rPr>
              <w:t>1. À qui parler</w:t>
            </w:r>
          </w:p>
        </w:tc>
        <w:tc>
          <w:tcPr>
            <w:tcW w:type="dxa" w:w="4873"/>
          </w:tcPr>
          <w:p>
            <w:r>
              <w:rPr>
                <w:b w:val="0"/>
                <w:sz w:val="18"/>
              </w:rPr>
              <w:t>Vous pouvez vous adresser, à votre choix et sans justification : à votre responsable ; à la direction des ressources humaines ; à [nom], référent de l’entreprise, [courriel] ; à [nom], référent du comité social et économique, [courriel] ; à tout élu ; au service de prévention et de santé au travail, [téléphone] ; à l’inspection du travail, [coordonnées]. Vous n’êtes pas tenu de passer par votre hiérarchie.</w:t>
            </w:r>
          </w:p>
        </w:tc>
      </w:tr>
      <w:tr>
        <w:tc>
          <w:tcPr>
            <w:tcW w:type="dxa" w:w="4873"/>
          </w:tcPr>
          <w:p>
            <w:r>
              <w:rPr>
                <w:b/>
                <w:sz w:val="18"/>
              </w:rPr>
              <w:t>2. Sous quelle forme</w:t>
            </w:r>
          </w:p>
        </w:tc>
        <w:tc>
          <w:tcPr>
            <w:tcW w:type="dxa" w:w="4873"/>
          </w:tcPr>
          <w:p>
            <w:r>
              <w:rPr>
                <w:b w:val="0"/>
                <w:sz w:val="18"/>
              </w:rPr>
              <w:t>Par écrit ou oralement, à votre convenance. Vous n’avez pas à employer le mot « harcèlement », ni à apporter de preuve : décrire les faits, avec des dates, suffit.</w:t>
            </w:r>
          </w:p>
        </w:tc>
      </w:tr>
      <w:tr>
        <w:tc>
          <w:tcPr>
            <w:tcW w:type="dxa" w:w="4873"/>
          </w:tcPr>
          <w:p>
            <w:r>
              <w:rPr>
                <w:b/>
                <w:sz w:val="18"/>
              </w:rPr>
              <w:t>3. Ce qui se passe, et quand</w:t>
            </w:r>
          </w:p>
        </w:tc>
        <w:tc>
          <w:tcPr>
            <w:tcW w:type="dxa" w:w="4873"/>
          </w:tcPr>
          <w:p>
            <w:r>
              <w:rPr>
                <w:b w:val="0"/>
                <w:sz w:val="18"/>
              </w:rPr>
              <w:t>Accusé de réception écrit sous 48 heures. Entretien de recueil sous 8 jours, avec la personne de votre choix pour vous accompagner. Premières mesures sous 8 jours. Décision motivée et écrite à l’issue, dans un délai annoncé au plus tard lors de l’entretien. Point de suivi écrit à trois mois.</w:t>
            </w:r>
          </w:p>
        </w:tc>
      </w:tr>
      <w:tr>
        <w:tc>
          <w:tcPr>
            <w:tcW w:type="dxa" w:w="4873"/>
          </w:tcPr>
          <w:p>
            <w:r>
              <w:rPr>
                <w:b/>
                <w:sz w:val="18"/>
              </w:rPr>
              <w:t>4. Qui saura</w:t>
            </w:r>
          </w:p>
        </w:tc>
        <w:tc>
          <w:tcPr>
            <w:tcW w:type="dxa" w:w="4873"/>
          </w:tcPr>
          <w:p>
            <w:r>
              <w:rPr>
                <w:b w:val="0"/>
                <w:sz w:val="18"/>
              </w:rPr>
              <w:t>Le référent, la direction des ressources humaines et, le cas échéant, les membres de la commission d’enquête. La personne mise en cause sera informée des faits qui lui sont reprochés — la procédure ne peut pas se dérouler autrement — mais aucune information ne sera donnée à votre équipe. L’anonymat ne peut pas être garanti ; la discrétion l’est, et son périmètre vous sera nommé.</w:t>
            </w:r>
          </w:p>
        </w:tc>
      </w:tr>
      <w:tr>
        <w:tc>
          <w:tcPr>
            <w:tcW w:type="dxa" w:w="4873"/>
          </w:tcPr>
          <w:p>
            <w:r>
              <w:rPr>
                <w:b/>
                <w:sz w:val="18"/>
              </w:rPr>
              <w:t>5. Ce que l’entreprise peut décider en attendant</w:t>
            </w:r>
          </w:p>
        </w:tc>
        <w:tc>
          <w:tcPr>
            <w:tcW w:type="dxa" w:w="4873"/>
          </w:tcPr>
          <w:p>
            <w:r>
              <w:rPr>
                <w:b w:val="0"/>
                <w:sz w:val="18"/>
              </w:rPr>
              <w:t>Séparer temporairement les personnes concernées, aménager les horaires ou le lieu de travail, suspendre un lien hiérarchique, prononcer une mise à pied conservatoire. Aucune de ces mesures ne vous sera imposée à vous, sauf à votre demande ou avec votre accord écrit.</w:t>
            </w:r>
          </w:p>
        </w:tc>
      </w:tr>
      <w:tr>
        <w:tc>
          <w:tcPr>
            <w:tcW w:type="dxa" w:w="4873"/>
          </w:tcPr>
          <w:p>
            <w:r>
              <w:rPr>
                <w:b/>
                <w:sz w:val="18"/>
              </w:rPr>
              <w:t>6. Votre protection</w:t>
            </w:r>
          </w:p>
        </w:tc>
        <w:tc>
          <w:tcPr>
            <w:tcW w:type="dxa" w:w="4873"/>
          </w:tcPr>
          <w:p>
            <w:r>
              <w:rPr>
                <w:b w:val="0"/>
                <w:sz w:val="18"/>
              </w:rPr>
              <w:t>Aucune sanction, aucun licenciement, aucune mesure discriminatoire ne peut être prise contre vous pour avoir subi, refusé de subir, relaté ou témoigné de faits de harcèlement. Cette protection vaut aussi pour les témoins. Toute mesure prise en méconnaissance de cette règle est nulle.</w:t>
            </w:r>
          </w:p>
        </w:tc>
      </w:tr>
      <w:tr>
        <w:tc>
          <w:tcPr>
            <w:tcW w:type="dxa" w:w="4873"/>
          </w:tcPr>
          <w:p>
            <w:r>
              <w:rPr>
                <w:b/>
                <w:sz w:val="18"/>
              </w:rPr>
              <w:t>7. Si rien ne se passe</w:t>
            </w:r>
          </w:p>
        </w:tc>
        <w:tc>
          <w:tcPr>
            <w:tcW w:type="dxa" w:w="4873"/>
          </w:tcPr>
          <w:p>
            <w:r>
              <w:rPr>
                <w:b w:val="0"/>
                <w:sz w:val="18"/>
              </w:rPr>
              <w:t>Si aucun accusé de réception ne vous parvient sous 48 heures, ou si aucune mesure n’est prise sous 8 jours, écrivez à [adresse de recours interne : direction générale]. Vous conservez à tout moment la faculté de saisir l’inspection du travail, le médecin du travail, le Défenseur des droits ou le conseil de prud’hommes.</w:t>
            </w:r>
          </w:p>
        </w:tc>
      </w:tr>
      <w:tr>
        <w:tc>
          <w:tcPr>
            <w:tcW w:type="dxa" w:w="4873"/>
          </w:tcPr>
          <w:p>
            <w:r>
              <w:rPr>
                <w:b/>
                <w:sz w:val="18"/>
              </w:rPr>
              <w:t>Version</w:t>
            </w:r>
          </w:p>
        </w:tc>
        <w:tc>
          <w:tcPr>
            <w:tcW w:type="dxa" w:w="4873"/>
          </w:tcPr>
          <w:p>
            <w:r>
              <w:rPr>
                <w:b w:val="0"/>
                <w:sz w:val="18"/>
              </w:rPr>
              <w:t>Version du [date]. Diffusée le [date] à [n] salariés. Accusé de lecture demandé.</w:t>
            </w:r>
          </w:p>
        </w:tc>
      </w:tr>
    </w:tbl>
    <w:p>
      <w:pPr>
        <w:spacing w:before="240" w:after="80"/>
      </w:pPr>
      <w:r>
        <w:rPr>
          <w:b/>
          <w:i w:val="0"/>
          <w:color w:val="1F3B57"/>
          <w:sz w:val="25"/>
        </w:rPr>
        <w:t>Diffuser, et pouvoir le prouver</w:t>
      </w:r>
    </w:p>
    <w:p>
      <w:pPr>
        <w:pStyle w:val="ListBullet"/>
        <w:spacing w:after="40"/>
      </w:pPr>
      <w:r>
        <w:rPr>
          <w:sz w:val="20"/>
        </w:rPr>
        <w:t>Remise contre émargement, ou envoi avec accusé de lecture horodaté — pas une simple mise en ligne.</w:t>
      </w:r>
    </w:p>
    <w:p>
      <w:pPr>
        <w:pStyle w:val="ListBullet"/>
        <w:spacing w:after="40"/>
      </w:pPr>
      <w:r>
        <w:rPr>
          <w:sz w:val="20"/>
        </w:rPr>
        <w:t>Intégration au livret d’accueil (action 10) et rappel dans l’information annuelle (action 9).</w:t>
      </w:r>
    </w:p>
    <w:p>
      <w:pPr>
        <w:pStyle w:val="ListBullet"/>
        <w:spacing w:after="40"/>
      </w:pPr>
      <w:r>
        <w:rPr>
          <w:sz w:val="20"/>
        </w:rPr>
        <w:t>Affichage du résumé à côté de l’affiche de l’action 2.</w:t>
      </w:r>
    </w:p>
    <w:p>
      <w:pPr>
        <w:pStyle w:val="ListBullet"/>
        <w:spacing w:after="40"/>
      </w:pPr>
      <w:r>
        <w:rPr>
          <w:sz w:val="20"/>
        </w:rPr>
        <w:t>Diffusion aux intérimaires et aux prestataires présents sur site : ils sont couverts par l’obligation de sécurité de l’entreprise utilisatrice.</w:t>
      </w:r>
    </w:p>
    <w:p>
      <w:pPr>
        <w:pStyle w:val="ListBullet"/>
        <w:spacing w:after="40"/>
      </w:pPr>
      <w:r>
        <w:rPr>
          <w:sz w:val="20"/>
        </w:rPr>
        <w:t>Une nouvelle diffusion à chaque modification, avec le numéro de version.</w:t>
      </w:r>
    </w:p>
    <w:p>
      <w:pPr>
        <w:spacing w:before="240" w:after="80"/>
      </w:pPr>
      <w:r>
        <w:rPr>
          <w:b/>
          <w:i w:val="0"/>
          <w:color w:val="1F3B57"/>
          <w:sz w:val="25"/>
        </w:rPr>
        <w:t>Ce que l’action produit — les pièces à conserver</w:t>
      </w:r>
    </w:p>
    <w:p>
      <w:pPr>
        <w:pStyle w:val="ListBullet"/>
        <w:spacing w:after="40"/>
      </w:pPr>
      <w:r>
        <w:rPr>
          <w:sz w:val="20"/>
        </w:rPr>
        <w:t>Procédure écrite, datée, avec numéro de version</w:t>
      </w:r>
    </w:p>
    <w:p>
      <w:pPr>
        <w:pStyle w:val="ListBullet"/>
        <w:spacing w:after="40"/>
      </w:pPr>
      <w:r>
        <w:rPr>
          <w:sz w:val="20"/>
        </w:rPr>
        <w:t>Preuve de diffusion horodatée et accusés de lecture</w:t>
      </w:r>
    </w:p>
    <w:p>
      <w:pPr>
        <w:pStyle w:val="ListBullet"/>
        <w:spacing w:after="40"/>
      </w:pPr>
      <w:r>
        <w:rPr>
          <w:sz w:val="20"/>
        </w:rPr>
        <w:t>Liste des destinataires, rapprochée de l’effectif</w:t>
      </w:r>
    </w:p>
    <w:p>
      <w:pPr>
        <w:pStyle w:val="ListBullet"/>
        <w:spacing w:after="40"/>
      </w:pPr>
      <w:r>
        <w:rPr>
          <w:sz w:val="20"/>
        </w:rPr>
        <w:t>Modèles annexés : accusé de réception, convocation à l’entretien de recueil, compte rendu d’entretien, décision motivée, courrier de suivi à trois mois</w:t>
      </w:r>
    </w:p>
    <w:p>
      <w:pPr>
        <w:pStyle w:val="ListBullet"/>
        <w:spacing w:after="40"/>
      </w:pPr>
      <w:r>
        <w:rPr>
          <w:sz w:val="20"/>
        </w:rPr>
        <w:t>Note d’articulation avec le dispositif « lanceurs d’alerte », si l’entreprise en a un</w:t>
      </w:r>
    </w:p>
    <w:p>
      <w:r>
        <w:br w:type="page"/>
      </w:r>
    </w:p>
    <w:p>
      <w:pPr>
        <w:spacing w:before="0" w:after="80"/>
      </w:pPr>
      <w:r>
        <w:rPr>
          <w:b/>
          <w:i w:val="0"/>
          <w:color w:val="1F3B57"/>
          <w:sz w:val="32"/>
        </w:rPr>
        <w:t>Action 7 — Former les dirigeants et l’encadrement</w:t>
      </w:r>
    </w:p>
    <w:p>
      <w:pPr>
        <w:spacing w:after="160"/>
        <w:pBdr>
          <w:bottom w:val="single" w:sz="8" w:color="C9A84C"/>
        </w:pBdr>
      </w:pPr>
    </w:p>
    <w:p>
      <w:pPr>
        <w:spacing w:before="0" w:after="60"/>
      </w:pPr>
      <w:r>
        <w:rPr>
          <w:b w:val="0"/>
          <w:i/>
          <w:color w:val="A0842E"/>
          <w:sz w:val="20"/>
        </w:rPr>
        <w:t>Article L.4121-1 (2°) — programme de formation, sept heures</w:t>
      </w:r>
    </w:p>
    <w:p>
      <w:pPr>
        <w:spacing w:before="0" w:after="160"/>
      </w:pPr>
      <w:r>
        <w:rPr>
          <w:b/>
          <w:i w:val="0"/>
          <w:color w:val="1F3B57"/>
          <w:sz w:val="20"/>
        </w:rPr>
        <w:t>Met en œuvre : L.4121-2, 9° — donner les instructions appropriées aux travailleurs. C’est le principe que la Cour de cassation applique lorsqu’elle exige des « actions d’information et de formation ».</w:t>
      </w:r>
    </w:p>
    <w:p>
      <w:pPr>
        <w:spacing w:before="0" w:after="120"/>
      </w:pPr>
      <w:r>
        <w:rPr>
          <w:b/>
          <w:i w:val="0"/>
          <w:sz w:val="21"/>
        </w:rPr>
        <w:t>Public : toute personne exerçant une autorité hiérarchique, sans exception — y compris les chefs d’équipe, les tuteurs et les responsables de projet.</w:t>
      </w:r>
    </w:p>
    <w:p>
      <w:pPr>
        <w:spacing w:before="0" w:after="120"/>
      </w:pPr>
      <w:r>
        <w:rPr>
          <w:b/>
          <w:i w:val="0"/>
          <w:sz w:val="21"/>
        </w:rPr>
        <w:t>Durée : une journée, sept heures. Rappel de deux heures tous les deux ans.</w:t>
      </w:r>
    </w:p>
    <w:p>
      <w:pPr>
        <w:spacing w:before="0" w:after="120"/>
      </w:pPr>
      <w:r>
        <w:rPr>
          <w:b/>
          <w:i w:val="0"/>
          <w:sz w:val="21"/>
        </w:rPr>
        <w:t>Effectif par session : douze à quinze participants au maximum. Au-delà, les mises en situation ne fonctionnent plus.</w:t>
      </w:r>
    </w:p>
    <w:p>
      <w:pPr>
        <w:spacing w:before="160" w:after="200"/>
      </w:pPr>
      <w:r>
        <w:rPr>
          <w:b w:val="0"/>
          <w:i w:val="0"/>
          <w:sz w:val="21"/>
        </w:rPr>
        <w:t>Objectif. C’est la formation qui exonère. La Cour de cassation invite les juges à rechercher si l’employeur avait mis en œuvre des actions d’information et de formation propres à prévenir la survenance de faits de harcèlement moral. Sans elle, tout le reste tombe.</w:t>
      </w:r>
    </w:p>
    <w:p>
      <w:pPr>
        <w:spacing w:before="200" w:after="40"/>
      </w:pPr>
      <w:r>
        <w:rPr>
          <w:b/>
          <w:sz w:val="22"/>
        </w:rPr>
        <w:t>Module 1 — La définition, et les trois pièges qu’elle contient</w:t>
      </w:r>
      <w:r>
        <w:rPr>
          <w:b/>
          <w:color w:val="A0842E"/>
          <w:sz w:val="19"/>
        </w:rPr>
        <w:t xml:space="preserve">   45 min</w:t>
      </w:r>
    </w:p>
    <w:p>
      <w:pPr>
        <w:spacing w:before="0" w:after="100"/>
      </w:pPr>
      <w:r>
        <w:rPr>
          <w:b w:val="0"/>
          <w:i w:val="0"/>
          <w:sz w:val="21"/>
        </w:rPr>
        <w:t>Lecture commentée de l’article L.1152-1 : des agissements RÉPÉTÉS, qui ont pour OBJET OU POUR EFFET une dégradation des conditions de travail SUSCEPTIBLE de porter atteinte aux droits et à la dignité, d’altérer la santé physique ou mentale, ou de compromettre l’avenir professionnel.</w:t>
      </w:r>
    </w:p>
    <w:p>
      <w:pPr>
        <w:spacing w:before="0" w:after="100"/>
      </w:pPr>
      <w:r>
        <w:rPr>
          <w:b w:val="0"/>
          <w:i w:val="0"/>
          <w:sz w:val="21"/>
        </w:rPr>
        <w:t>Premier piège — « répétés » n’exige pas des faits de nature différente. Exiger des agissements de nature différente ajoute à la loi une condition qu’elle ne comporte pas : un même fait, répété dans le temps, suffit (Cass. crim., 26 janvier 2016, n° 14-80.455). À défaut de répétition d’un fait unique, deux faits distincts suffisent (Cass. soc., 11 mars 2025, n° 23-16.415). Seul le fait survenu une seule fois est exclu (Cass. soc., 22 janvier 2014, n° 12-29.131).</w:t>
      </w:r>
    </w:p>
    <w:p>
      <w:pPr>
        <w:spacing w:before="0" w:after="100"/>
      </w:pPr>
      <w:r>
        <w:rPr>
          <w:b w:val="0"/>
          <w:i w:val="0"/>
          <w:sz w:val="21"/>
        </w:rPr>
        <w:t>Deuxième piège — la durée n’est pas une condition. Le harcèlement a été retenu sur dix-sept jours (Cass. soc., 6 avril 2011, n° 09-71.170).</w:t>
      </w:r>
    </w:p>
    <w:p>
      <w:pPr>
        <w:spacing w:before="0" w:after="100"/>
      </w:pPr>
      <w:r>
        <w:rPr>
          <w:b w:val="0"/>
          <w:i w:val="0"/>
          <w:sz w:val="21"/>
        </w:rPr>
        <w:t>Troisième piège — l’atteinte n’a pas à être réalisée. Le texte dit « susceptible ». Ni la dégradation effective des conditions de travail ni l’altération avérée de la santé ne sont exigées (Cass. soc., 11 mars 2025, n° 23-16.415).</w:t>
      </w:r>
    </w:p>
    <w:p>
      <w:pPr>
        <w:spacing w:after="100"/>
      </w:pPr>
      <w:r>
        <w:rPr>
          <w:b/>
          <w:color w:val="B23B3B"/>
          <w:sz w:val="20"/>
        </w:rPr>
        <w:t xml:space="preserve">Le piège. </w:t>
      </w:r>
      <w:r>
        <w:rPr>
          <w:sz w:val="20"/>
        </w:rPr>
        <w:t>« Ça n’a duré que trois semaines » et « elle n’a jamais été en arrêt » ne sont pas des moyens de défense. Ce sont deux erreurs classiques d’encadrants, et deux aveux.</w:t>
      </w:r>
    </w:p>
    <w:p>
      <w:pPr>
        <w:spacing w:before="200" w:after="40"/>
      </w:pPr>
      <w:r>
        <w:rPr>
          <w:b/>
          <w:sz w:val="22"/>
        </w:rPr>
        <w:t>Module 2 — L’intention ne compte pas</w:t>
      </w:r>
      <w:r>
        <w:rPr>
          <w:b/>
          <w:color w:val="A0842E"/>
          <w:sz w:val="19"/>
        </w:rPr>
        <w:t xml:space="preserve">   30 min</w:t>
      </w:r>
    </w:p>
    <w:p>
      <w:pPr>
        <w:spacing w:before="0" w:after="100"/>
      </w:pPr>
      <w:r>
        <w:rPr>
          <w:b w:val="0"/>
          <w:i w:val="0"/>
          <w:sz w:val="21"/>
        </w:rPr>
        <w:t>On peut harceler sans le vouloir. L’intention de nuire n’est pas exigée pour caractériser le harcèlement moral (Cass. soc., 10 novembre 2009, n° 08-41.497). Un encadrant convaincu de bien faire, qui met la pression « pour le bien du service » ou « parce qu’elle a besoin d’être recadrée », peut être l’auteur de faits de harcèlement.</w:t>
      </w:r>
    </w:p>
    <w:p>
      <w:pPr>
        <w:spacing w:before="0" w:after="100"/>
      </w:pPr>
      <w:r>
        <w:rPr>
          <w:b w:val="0"/>
          <w:i w:val="0"/>
          <w:sz w:val="21"/>
        </w:rPr>
        <w:t>Ce module est le plus difficile à faire admettre et le plus important. Il faut y consacrer le temps nécessaire, y compris pour laisser s’exprimer les objections — « alors on ne peut plus rien dire » — et y répondre par le module 4, sur ce que les juges écartent.</w:t>
      </w:r>
    </w:p>
    <w:p>
      <w:pPr>
        <w:spacing w:before="0" w:after="100"/>
      </w:pPr>
      <w:r>
        <w:rPr>
          <w:b w:val="0"/>
          <w:i w:val="0"/>
          <w:sz w:val="21"/>
        </w:rPr>
        <w:t>Corollaire : aucun lien de subordination n’est requis. L’auteur peut être l’employeur, un supérieur, un collègue, voire une personne étrangère à l’entreprise (Cass. soc., 1er mars 2011, n° 09-69.616). L’encadrant qui laisse une équipe organiser la mise à l’écart d’un collègue est en cause au titre de son obligation de sécurité.</w:t>
      </w:r>
    </w:p>
    <w:p>
      <w:pPr>
        <w:spacing w:before="200" w:after="40"/>
      </w:pPr>
      <w:r>
        <w:rPr>
          <w:b/>
          <w:sz w:val="22"/>
        </w:rPr>
        <w:t>Module 3 — Ce que les juges retiennent</w:t>
      </w:r>
      <w:r>
        <w:rPr>
          <w:b/>
          <w:color w:val="A0842E"/>
          <w:sz w:val="19"/>
        </w:rPr>
        <w:t xml:space="preserve">   1 h 30, sur cas réels</w:t>
      </w:r>
    </w:p>
    <w:p>
      <w:pPr>
        <w:spacing w:before="0" w:after="100"/>
      </w:pPr>
      <w:r>
        <w:rPr>
          <w:b w:val="0"/>
          <w:i w:val="0"/>
          <w:sz w:val="21"/>
        </w:rPr>
        <w:t>Neuf cas, distribués sur fiche, discutés en sous-groupes puis restitués. Pour chacun : les faits, la décision, et ce que l’encadrant aurait dû faire.</w:t>
      </w:r>
    </w:p>
    <w:p>
      <w:pPr>
        <w:spacing w:before="0" w:after="100"/>
      </w:pPr>
      <w:r>
        <w:rPr>
          <w:b w:val="0"/>
          <w:i w:val="0"/>
          <w:sz w:val="21"/>
        </w:rPr>
        <w:t>1. Mutation irrégulière avec changement de résidence, puis poste de chargé de mission peu à peu vidé de son contenu (Cass. soc., 3 décembre 2008, n° 07-41.491).</w:t>
      </w:r>
    </w:p>
    <w:p>
      <w:pPr>
        <w:spacing w:before="0" w:after="100"/>
      </w:pPr>
      <w:r>
        <w:rPr>
          <w:b w:val="0"/>
          <w:i w:val="0"/>
          <w:sz w:val="21"/>
        </w:rPr>
        <w:t>2. Refus de laisser reprendre le travail au retour de congé maternité, retrait de responsabilités et mise à pied injustifiée de huit jours (Cass. soc., 7 juillet 2009, n° 07-44.590).</w:t>
      </w:r>
    </w:p>
    <w:p>
      <w:pPr>
        <w:spacing w:before="0" w:after="100"/>
      </w:pPr>
      <w:r>
        <w:rPr>
          <w:b w:val="0"/>
          <w:i w:val="0"/>
          <w:sz w:val="21"/>
        </w:rPr>
        <w:t>3. Changements quotidiens de tâches et interdiction faite aux autres salariés de lui adresser la parole (Cass. soc., 6 avril 2011, n° 09-71.170).</w:t>
      </w:r>
    </w:p>
    <w:p>
      <w:pPr>
        <w:spacing w:before="0" w:after="100"/>
      </w:pPr>
      <w:r>
        <w:rPr>
          <w:b w:val="0"/>
          <w:i w:val="0"/>
          <w:sz w:val="21"/>
        </w:rPr>
        <w:t>4. Affectation dans un local exigu, sans chauffage correct, sans outils de travail, isolé des collègues, avec des réflexions mettant en doute son équilibre psychologique (Cass. soc., 29 juin 2005, n° 03-44.055).</w:t>
      </w:r>
    </w:p>
    <w:p>
      <w:pPr>
        <w:spacing w:before="0" w:after="100"/>
      </w:pPr>
      <w:r>
        <w:rPr>
          <w:b w:val="0"/>
          <w:i w:val="0"/>
          <w:sz w:val="21"/>
        </w:rPr>
        <w:t>5. Plus aucun travail fourni pendant plus de deux ans, avec obligation de se présenter chaque jour dans les locaux d’une société tierce (Cass. soc., 19 octobre 2010, n° 09-42.391).</w:t>
      </w:r>
    </w:p>
    <w:p>
      <w:pPr>
        <w:spacing w:before="0" w:after="100"/>
      </w:pPr>
      <w:r>
        <w:rPr>
          <w:b w:val="0"/>
          <w:i w:val="0"/>
          <w:sz w:val="21"/>
        </w:rPr>
        <w:t>6. Mise à l’écart organisée par six collègues d’une aide-soignante après un aménagement de planning perçu comme un privilège (Cass. crim., 26 janvier 2016, n° 14-80.455).</w:t>
      </w:r>
    </w:p>
    <w:p>
      <w:pPr>
        <w:spacing w:before="0" w:after="100"/>
      </w:pPr>
      <w:r>
        <w:rPr>
          <w:b w:val="0"/>
          <w:i w:val="0"/>
          <w:sz w:val="21"/>
        </w:rPr>
        <w:t>7. Avertissement injustifié et absence de consultation de la salariée sur la fixation de ses congés, l’employeur ne justifiant pas que ces faits étaient étrangers à tout harcèlement (Cass. soc., 11 mars 2025, n° 23-16.415).</w:t>
      </w:r>
    </w:p>
    <w:p>
      <w:pPr>
        <w:spacing w:before="0" w:after="100"/>
      </w:pPr>
      <w:r>
        <w:rPr>
          <w:b w:val="0"/>
          <w:i w:val="0"/>
          <w:sz w:val="21"/>
        </w:rPr>
        <w:t>8. Absence d’aide de l’équipe, privation des moyens de travail, suppression de l’accès au répertoire ressources (Cass. soc., 11 mars 2026, n° 24-21.502).</w:t>
      </w:r>
    </w:p>
    <w:p>
      <w:pPr>
        <w:spacing w:before="0" w:after="100"/>
      </w:pPr>
      <w:r>
        <w:rPr>
          <w:b w:val="0"/>
          <w:i w:val="0"/>
          <w:sz w:val="21"/>
        </w:rPr>
        <w:t>9. Pressions exercées pour faire accepter une rupture conventionnelle (Cass. soc., 10 juillet 2024, n° 23-14.900).</w:t>
      </w:r>
    </w:p>
    <w:p>
      <w:pPr>
        <w:spacing w:after="100"/>
      </w:pPr>
      <w:r>
        <w:rPr>
          <w:b/>
          <w:color w:val="A0842E"/>
          <w:sz w:val="20"/>
        </w:rPr>
        <w:t xml:space="preserve">Exercice. </w:t>
      </w:r>
      <w:r>
        <w:rPr>
          <w:sz w:val="20"/>
        </w:rPr>
        <w:t>Chaque sous-groupe reçoit trois cas sans la solution. Il doit dire s’il retiendrait le harcèlement et pourquoi. La restitution confronte les réponses à la décision réelle.</w:t>
      </w:r>
    </w:p>
    <w:p>
      <w:pPr>
        <w:spacing w:before="200" w:after="40"/>
      </w:pPr>
      <w:r>
        <w:rPr>
          <w:b/>
          <w:sz w:val="22"/>
        </w:rPr>
        <w:t>Module 4 — Ce que les juges écartent</w:t>
      </w:r>
      <w:r>
        <w:rPr>
          <w:b/>
          <w:color w:val="A0842E"/>
          <w:sz w:val="19"/>
        </w:rPr>
        <w:t xml:space="preserve">   45 min</w:t>
      </w:r>
    </w:p>
    <w:p>
      <w:pPr>
        <w:spacing w:before="0" w:after="100"/>
      </w:pPr>
      <w:r>
        <w:rPr>
          <w:b w:val="0"/>
          <w:i w:val="0"/>
          <w:sz w:val="21"/>
        </w:rPr>
        <w:t>C’est la réponse à l’objection « on ne peut plus rien dire ». La jurisprudence distingue le harcèlement des décisions de gestion légitimes : évaluer, réorganiser, sanctionner à bon droit ne sont pas des actes de harcèlement, dès lors que ces décisions reposent sur des éléments objectifs.</w:t>
      </w:r>
    </w:p>
    <w:p>
      <w:pPr>
        <w:spacing w:before="0" w:after="100"/>
      </w:pPr>
      <w:r>
        <w:rPr>
          <w:b w:val="0"/>
          <w:i w:val="0"/>
          <w:sz w:val="21"/>
        </w:rPr>
        <w:t>1. Deux sanctions disciplinaires en un mois, même irrégulières, ne constituent pas en soi un harcèlement (Cass. soc., 16 juin 2004, n° 02-41.795).</w:t>
      </w:r>
    </w:p>
    <w:p>
      <w:pPr>
        <w:spacing w:before="0" w:after="100"/>
      </w:pPr>
      <w:r>
        <w:rPr>
          <w:b w:val="0"/>
          <w:i w:val="0"/>
          <w:sz w:val="21"/>
        </w:rPr>
        <w:t>2. Le fait unique, non répété, est exclu de la qualification (Cass. soc., 22 janvier 2014, n° 12-29.131).</w:t>
      </w:r>
    </w:p>
    <w:p>
      <w:pPr>
        <w:spacing w:before="0" w:after="100"/>
      </w:pPr>
      <w:r>
        <w:rPr>
          <w:b w:val="0"/>
          <w:i w:val="0"/>
          <w:sz w:val="21"/>
        </w:rPr>
        <w:t>3. Des accusations générales, des tracts critiques et une attestation ne suffisent pas : il faut des faits précis, datés et concordants. Le simple ressenti ou des affirmations vagues ne franchissent pas le seuil de la présomption (Cass. soc., 9 juin 2010, n° 09-40.544).</w:t>
      </w:r>
    </w:p>
    <w:p>
      <w:pPr>
        <w:spacing w:before="0" w:after="100"/>
      </w:pPr>
      <w:r>
        <w:rPr>
          <w:b w:val="0"/>
          <w:i w:val="0"/>
          <w:sz w:val="21"/>
        </w:rPr>
        <w:t>4. Une mésentente réciproque entre collègues n’est pas un harcèlement : la qualification suppose que la responsabilité de chacun soit clairement établie, et non un conflit aux torts partagés (Cass. soc., 4 novembre 2015, n° 14-12.281).</w:t>
      </w:r>
    </w:p>
    <w:p>
      <w:pPr>
        <w:spacing w:after="100"/>
      </w:pPr>
      <w:r>
        <w:rPr>
          <w:b/>
          <w:color w:val="B23B3B"/>
          <w:sz w:val="20"/>
        </w:rPr>
        <w:t xml:space="preserve">Le piège. </w:t>
      </w:r>
      <w:r>
        <w:rPr>
          <w:sz w:val="20"/>
        </w:rPr>
        <w:t>Cette limite n’est pas un permis. Elle ne joue que si les décisions sont objectivées — c’est-à-dire écrites, motivées, datées. Sans trace, la limite ne protège personne.</w:t>
      </w:r>
    </w:p>
    <w:p>
      <w:pPr>
        <w:spacing w:before="200" w:after="40"/>
      </w:pPr>
      <w:r>
        <w:rPr>
          <w:b/>
          <w:sz w:val="22"/>
        </w:rPr>
        <w:t>Module 5 — Le harcèlement managérial et institutionnel</w:t>
      </w:r>
      <w:r>
        <w:rPr>
          <w:b/>
          <w:color w:val="A0842E"/>
          <w:sz w:val="19"/>
        </w:rPr>
        <w:t xml:space="preserve">   45 min</w:t>
      </w:r>
    </w:p>
    <w:p>
      <w:pPr>
        <w:spacing w:before="0" w:after="100"/>
      </w:pPr>
      <w:r>
        <w:rPr>
          <w:b w:val="0"/>
          <w:i w:val="0"/>
          <w:sz w:val="21"/>
        </w:rPr>
        <w:t>Peuvent caractériser un harcèlement moral les méthodes de gestion mises en œuvre par un supérieur hiérarchique dès lors qu’elles se manifestent, pour un salarié déterminé, par des agissements répétés ayant pour objet ou pour effet d’entraîner une dégradation des conditions de travail (Cass. soc., 10 novembre 2009, n° 07-45.321). Dans cette affaire : pression continuelle, reproches incessants, ordres et contre-ordres dans l’intention de diviser l’équipe, se traduisant pour le demandeur par une mise à l’écart, un mépris affiché et une communication réduite à un tableau.</w:t>
      </w:r>
    </w:p>
    <w:p>
      <w:pPr>
        <w:spacing w:before="0" w:after="100"/>
      </w:pPr>
      <w:r>
        <w:rPr>
          <w:b w:val="0"/>
          <w:i w:val="0"/>
          <w:sz w:val="21"/>
        </w:rPr>
        <w:t>Le harcèlement institutionnel va plus loin : il se caractérise par des agissements visant à arrêter et mettre en œuvre, en connaissance de cause, une politique d’entreprise qui a pour objet ou pour effet de dégrader les conditions de travail de tout ou partie des salariés, aux fins de parvenir à une réduction des effectifs ou d’atteindre tout autre objectif managérial, économique ou financier (Cass. crim., 21 janvier 2025, n° 22-87.145).</w:t>
      </w:r>
    </w:p>
    <w:p>
      <w:pPr>
        <w:spacing w:before="0" w:after="100"/>
      </w:pPr>
      <w:r>
        <w:rPr>
          <w:b w:val="0"/>
          <w:i w:val="0"/>
          <w:sz w:val="21"/>
        </w:rPr>
        <w:t>Dans l’affaire France Télécom, les juges ont relevé la pression donnée au contrôle des départs à tous les niveaux de la chaîne hiérarchique, la prise en compte des départs dans la rémunération de l’encadrement, et le conditionnement de la hiérarchie intermédiaire lors des formations dispensées. La faute la plus importante, disent-ils, a été le passage d’un objectif indicatif à un objectif impératif à atteindre « coûte que coûte ».</w:t>
      </w:r>
    </w:p>
    <w:p>
      <w:pPr>
        <w:spacing w:after="100"/>
      </w:pPr>
      <w:r>
        <w:rPr>
          <w:b/>
          <w:color w:val="B23B3B"/>
          <w:sz w:val="20"/>
        </w:rPr>
        <w:t xml:space="preserve">Le piège. </w:t>
      </w:r>
      <w:r>
        <w:rPr>
          <w:sz w:val="20"/>
        </w:rPr>
        <w:t>Un objectif chiffré de départs, un classement des managers sur le nombre de ruptures obtenues, un discours de formation qui prépare à « accompagner la sortie » : ces trois éléments réunis suffisent à ouvrir un dossier pénal.</w:t>
      </w:r>
    </w:p>
    <w:p>
      <w:pPr>
        <w:spacing w:before="200" w:after="40"/>
      </w:pPr>
      <w:r>
        <w:rPr>
          <w:b/>
          <w:sz w:val="22"/>
        </w:rPr>
        <w:t>Module 6 — Objectiver ses décisions</w:t>
      </w:r>
      <w:r>
        <w:rPr>
          <w:b/>
          <w:color w:val="A0842E"/>
          <w:sz w:val="19"/>
        </w:rPr>
        <w:t xml:space="preserve">   1 h, exercice individuel puis collectif</w:t>
      </w:r>
    </w:p>
    <w:p>
      <w:pPr>
        <w:spacing w:before="0" w:after="100"/>
      </w:pPr>
      <w:r>
        <w:rPr>
          <w:b w:val="0"/>
          <w:i w:val="0"/>
          <w:sz w:val="21"/>
        </w:rPr>
        <w:t>Le régime de la preuve est aménagé : le salarié présente des éléments de fait laissant supposer l’existence d’un harcèlement, et il incombe alors à l’employeur de prouver que ces agissements ne sont pas constitutifs d’un harcèlement et que sa décision est justifiée par des éléments objectifs étrangers à tout harcèlement (article L.1154-1).</w:t>
      </w:r>
    </w:p>
    <w:p>
      <w:pPr>
        <w:spacing w:before="0" w:after="100"/>
      </w:pPr>
      <w:r>
        <w:rPr>
          <w:b w:val="0"/>
          <w:i w:val="0"/>
          <w:sz w:val="21"/>
        </w:rPr>
        <w:t>Ce que cela impose à l’encadrant : toute décision défavorable — refus de congé, changement d’affectation, retrait d’un dossier, évaluation basse, avertissement — doit pouvoir être justifiée par un élément objectif, écrit et daté, indépendant de la personne.</w:t>
      </w:r>
    </w:p>
    <w:p>
      <w:pPr>
        <w:spacing w:before="0" w:after="100"/>
      </w:pPr>
      <w:r>
        <w:rPr>
          <w:b w:val="0"/>
          <w:i w:val="0"/>
          <w:sz w:val="21"/>
        </w:rPr>
        <w:t>La méthode enseignée tient en quatre questions, à écrire avant de décider : quel est le fait objectif qui fonde ma décision ? où est-il tracé ? aurais-je pris la même décision pour un autre salarié ? qu’est-ce que le salarié pourra en dire ?</w:t>
      </w:r>
    </w:p>
    <w:p>
      <w:pPr>
        <w:spacing w:before="0" w:after="100"/>
      </w:pPr>
      <w:r>
        <w:rPr>
          <w:b w:val="0"/>
          <w:i w:val="0"/>
          <w:sz w:val="21"/>
        </w:rPr>
        <w:t>Et le juge apprécie les faits DANS LEUR ENSEMBLE. L’analyse fait par fait est censurée (Cass. soc., 11 mars 2026, n° 24-21.502). Un cumul de décisions anodines prises isolément peut caractériser un harcèlement : c’est l’accumulation qu’il faut surveiller, pas chaque décision prise à part.</w:t>
      </w:r>
    </w:p>
    <w:p>
      <w:pPr>
        <w:spacing w:after="100"/>
      </w:pPr>
      <w:r>
        <w:rPr>
          <w:b/>
          <w:color w:val="A0842E"/>
          <w:sz w:val="20"/>
        </w:rPr>
        <w:t xml:space="preserve">Exercice. </w:t>
      </w:r>
      <w:r>
        <w:rPr>
          <w:sz w:val="20"/>
        </w:rPr>
        <w:t>Chaque participant reprend trois décisions défavorables qu’il a prises dans les six derniers mois et écrit, pour chacune : le fait objectif, sa trace, et la phrase qu’il dirait au juge. Les cas les plus fragiles sont repris en collectif.</w:t>
      </w:r>
    </w:p>
    <w:p>
      <w:pPr>
        <w:spacing w:before="200" w:after="40"/>
      </w:pPr>
      <w:r>
        <w:rPr>
          <w:b/>
          <w:sz w:val="22"/>
        </w:rPr>
        <w:t>Module 7 — Recevoir un signalement</w:t>
      </w:r>
      <w:r>
        <w:rPr>
          <w:b/>
          <w:color w:val="A0842E"/>
          <w:sz w:val="19"/>
        </w:rPr>
        <w:t xml:space="preserve">   1 h, mises en situation</w:t>
      </w:r>
    </w:p>
    <w:p>
      <w:pPr>
        <w:spacing w:before="0" w:after="100"/>
      </w:pPr>
      <w:r>
        <w:rPr>
          <w:b w:val="0"/>
          <w:i w:val="0"/>
          <w:sz w:val="21"/>
        </w:rPr>
        <w:t>Ce qu’on fait : écouter sans interrompre, prendre des notes factuelles et datées, reformuler, dire ce qui va se passer et sous quel délai, transmettre immédiatement au référent et au service des ressources humaines, écrire le compte rendu le jour même.</w:t>
      </w:r>
    </w:p>
    <w:p>
      <w:pPr>
        <w:spacing w:before="0" w:after="100"/>
      </w:pPr>
      <w:r>
        <w:rPr>
          <w:b w:val="0"/>
          <w:i w:val="0"/>
          <w:sz w:val="21"/>
        </w:rPr>
        <w:t>Ce qu’on ne fait pas : minimiser (« vous êtes sûr que ce n’est pas un malentendu ? »), promettre le secret absolu, enquêter seul, confronter les parties, prévenir l’auteur présumé, en parler à l’équipe, ou attendre « de voir si ça se tasse ».</w:t>
      </w:r>
    </w:p>
    <w:p>
      <w:pPr>
        <w:spacing w:before="0" w:after="100"/>
      </w:pPr>
      <w:r>
        <w:rPr>
          <w:b w:val="0"/>
          <w:i w:val="0"/>
          <w:sz w:val="21"/>
        </w:rPr>
        <w:t>Point capital : le salarié n’a pas à employer le mot « harcèlement » pour que l’obligation d’agir se déclenche. C’est la révélation des faits qui l’enclenche, non les mots employés (Cass. soc., 8 janvier 2025, n° 23-19.996). « Je n’en peux plus de la manière dont il me parle » est un signalement.</w:t>
      </w:r>
    </w:p>
    <w:p>
      <w:pPr>
        <w:spacing w:before="0" w:after="100"/>
      </w:pPr>
      <w:r>
        <w:rPr>
          <w:b w:val="0"/>
          <w:i w:val="0"/>
          <w:sz w:val="21"/>
        </w:rPr>
        <w:t>Trois mises en situation jouées : le salarié qui minimise lui-même, le salarié qui accuse sans faits, le témoin qui parle à la place de la victime.</w:t>
      </w:r>
    </w:p>
    <w:p>
      <w:pPr>
        <w:spacing w:after="100"/>
      </w:pPr>
      <w:r>
        <w:rPr>
          <w:b/>
          <w:color w:val="B23B3B"/>
          <w:sz w:val="20"/>
        </w:rPr>
        <w:t xml:space="preserve">Le piège. </w:t>
      </w:r>
      <w:r>
        <w:rPr>
          <w:sz w:val="20"/>
        </w:rPr>
        <w:t>« Elle ne m’a jamais parlé de harcèlement » est le premier argument des employeurs, et celui qui tombe le plus souvent.</w:t>
      </w:r>
    </w:p>
    <w:p>
      <w:pPr>
        <w:spacing w:before="200" w:after="40"/>
      </w:pPr>
      <w:r>
        <w:rPr>
          <w:b/>
          <w:sz w:val="22"/>
        </w:rPr>
        <w:t>Module 8 — Les conséquences, chiffrées</w:t>
      </w:r>
      <w:r>
        <w:rPr>
          <w:b/>
          <w:color w:val="A0842E"/>
          <w:sz w:val="19"/>
        </w:rPr>
        <w:t xml:space="preserve">   30 min</w:t>
      </w:r>
    </w:p>
    <w:p>
      <w:pPr>
        <w:spacing w:before="0" w:after="100"/>
      </w:pPr>
      <w:r>
        <w:rPr>
          <w:b w:val="0"/>
          <w:i w:val="0"/>
          <w:sz w:val="21"/>
        </w:rPr>
        <w:t>Pour l’entreprise. Si le licenciement est fondé sur le harcèlement subi, refusé ou dénoncé, il est NUL (article L.1152-3). Le salarié choisit alors entre la réintégration — avec rappel de l’intégralité des salaires jusqu’à la réintégration effective — et une indemnité qui ne peut être inférieure à six mois de salaire, SANS PLAFOND : le barème de l’article L.1235-3 ne s’applique pas.</w:t>
      </w:r>
    </w:p>
    <w:p>
      <w:pPr>
        <w:spacing w:before="0" w:after="100"/>
      </w:pPr>
      <w:r>
        <w:rPr>
          <w:b w:val="0"/>
          <w:i w:val="0"/>
          <w:sz w:val="21"/>
        </w:rPr>
        <w:t>S’y ajoutent, de manière distincte et cumulable, des dommages-intérêts réparant le préjudice subi du seul fait des agissements de harcèlement (Cass. soc., 1er juin 2023, n° 21-23.438).</w:t>
      </w:r>
    </w:p>
    <w:p>
      <w:pPr>
        <w:spacing w:before="0" w:after="100"/>
      </w:pPr>
      <w:r>
        <w:rPr>
          <w:b w:val="0"/>
          <w:i w:val="0"/>
          <w:sz w:val="21"/>
        </w:rPr>
        <w:t>Mais — et c’est ce qui sauve les dossiers — la nullité suppose un lien : l’existence du harcèlement ne suffit pas, il faut que le licenciement ait été prononcé POUR avoir subi, refusé de subir ou dénoncé ces agissements (Cass. soc., 9 avril 2025, n° 24-11.421 ; Cass. soc., 6 mai 2025, n° 23-22.588). D’où la règle enseignée au module 6 : documenter le motif, séparément et à l’avance.</w:t>
      </w:r>
    </w:p>
    <w:p>
      <w:pPr>
        <w:spacing w:before="0" w:after="100"/>
      </w:pPr>
      <w:r>
        <w:rPr>
          <w:b w:val="0"/>
          <w:i w:val="0"/>
          <w:sz w:val="21"/>
        </w:rPr>
        <w:t>Pour l’auteur personnellement. Le harcèlement moral est puni de deux ans d’emprisonnement et de 30 000 € d’amende (article 222-33-2 du code pénal). La sanction disciplinaire, jusqu’au licenciement pour faute grave, est encourue indépendamment.</w:t>
      </w:r>
    </w:p>
    <w:p>
      <w:pPr>
        <w:spacing w:after="100"/>
      </w:pPr>
      <w:r>
        <w:rPr>
          <w:b/>
          <w:color w:val="B23B3B"/>
          <w:sz w:val="20"/>
        </w:rPr>
        <w:t xml:space="preserve">Le piège. </w:t>
      </w:r>
      <w:r>
        <w:rPr>
          <w:sz w:val="20"/>
        </w:rPr>
        <w:t>Un manager qui apprend au module 8 qu’il risque personnellement le pénal écoute différemment les modules 1 à 7. C’est pour cela qu’on ne le place pas en premier.</w:t>
      </w:r>
    </w:p>
    <w:p>
      <w:pPr>
        <w:spacing w:before="200" w:after="40"/>
      </w:pPr>
      <w:r>
        <w:rPr>
          <w:b/>
          <w:sz w:val="22"/>
        </w:rPr>
        <w:t>Module 9 — Évaluation</w:t>
      </w:r>
      <w:r>
        <w:rPr>
          <w:b/>
          <w:color w:val="A0842E"/>
          <w:sz w:val="19"/>
        </w:rPr>
        <w:t xml:space="preserve">   15 min</w:t>
      </w:r>
    </w:p>
    <w:p>
      <w:pPr>
        <w:spacing w:before="0" w:after="100"/>
      </w:pPr>
      <w:r>
        <w:rPr>
          <w:b w:val="0"/>
          <w:i w:val="0"/>
          <w:sz w:val="21"/>
        </w:rPr>
        <w:t>Un questionnaire de dix situations à qualifier : harcèlement, pas harcèlement, ou « il manque un élément — lequel ? ». Correction immédiate et commentée. Les dix situations sont données ci-dessous, avec la réponse attendue.</w:t>
      </w:r>
    </w:p>
    <w:p>
      <w:pPr>
        <w:spacing w:before="0" w:after="100"/>
      </w:pPr>
      <w:r>
        <w:rPr>
          <w:b w:val="0"/>
          <w:i w:val="0"/>
          <w:sz w:val="21"/>
        </w:rPr>
        <w:t>Le questionnaire corrigé est conservé et versé au dossier de preuve. Il établit que la formation a été SUIVIE, et pas seulement dispensée — nuance qui compte quand l’employeur doit démontrer l’effectivité de ses actions.</w:t>
      </w:r>
    </w:p>
    <w:p>
      <w:pPr>
        <w:spacing w:before="280" w:after="80"/>
      </w:pPr>
      <w:r>
        <w:rPr>
          <w:b/>
          <w:i w:val="0"/>
          <w:color w:val="1F3B57"/>
          <w:sz w:val="25"/>
        </w:rPr>
        <w:t>Le questionnaire d’évaluation — les dix situations et leur correction</w:t>
      </w:r>
    </w:p>
    <w:p>
      <w:pPr>
        <w:spacing w:before="0" w:after="120"/>
      </w:pPr>
      <w:r>
        <w:rPr>
          <w:b w:val="0"/>
          <w:i/>
          <w:color w:val="B23B3B"/>
          <w:sz w:val="19"/>
        </w:rPr>
        <w:t>Exemple pédagogique. Les situations sont fictives et volontairement proches les unes des autres. Le questionnaire remis en séance ne comporte évidemment pas la colonne de droite.</w:t>
      </w:r>
    </w:p>
    <w:tbl>
      <w:tblPr>
        <w:tblStyle w:val="TableGrid"/>
        <w:tblW w:type="auto" w:w="0"/>
        <w:tblLook w:firstColumn="1" w:firstRow="1" w:lastColumn="0" w:lastRow="0" w:noHBand="0" w:noVBand="1" w:val="04A0"/>
      </w:tblPr>
      <w:tblGrid>
        <w:gridCol w:w="2381"/>
        <w:gridCol w:w="6803"/>
      </w:tblGrid>
      <w:tr>
        <w:tc>
          <w:tcPr>
            <w:tcW w:type="dxa" w:w="4873"/>
          </w:tcPr>
          <w:p>
            <w:r>
              <w:rPr>
                <w:b/>
                <w:sz w:val="18"/>
              </w:rPr>
              <w:t>1. Un chef d’équipe demande chaque matin à la même salariée de justifier son heure d’arrivée, devant l’équipe, depuis quatre mois. Aucun autre salarié n’est concerné.</w:t>
            </w:r>
          </w:p>
        </w:tc>
        <w:tc>
          <w:tcPr>
            <w:tcW w:type="dxa" w:w="4873"/>
          </w:tcPr>
          <w:p>
            <w:r>
              <w:rPr>
                <w:b w:val="0"/>
                <w:sz w:val="18"/>
              </w:rPr>
              <w:t>HARCÈLEMENT. Un même fait répété suffit : il n’est pas nécessaire que les agissements soient de nature différente.</w:t>
            </w:r>
          </w:p>
        </w:tc>
      </w:tr>
      <w:tr>
        <w:tc>
          <w:tcPr>
            <w:tcW w:type="dxa" w:w="4873"/>
          </w:tcPr>
          <w:p>
            <w:r>
              <w:rPr>
                <w:b/>
                <w:sz w:val="18"/>
              </w:rPr>
              <w:t>2. Un manager adresse un avertissement écrit et motivé à un salarié pour trois retards établis.</w:t>
            </w:r>
          </w:p>
        </w:tc>
        <w:tc>
          <w:tcPr>
            <w:tcW w:type="dxa" w:w="4873"/>
          </w:tcPr>
          <w:p>
            <w:r>
              <w:rPr>
                <w:b w:val="0"/>
                <w:sz w:val="18"/>
              </w:rPr>
              <w:t>PAS HARCÈLEMENT. Une sanction justifiée, reposant sur des faits objectifs, relève du pouvoir de direction.</w:t>
            </w:r>
          </w:p>
        </w:tc>
      </w:tr>
      <w:tr>
        <w:tc>
          <w:tcPr>
            <w:tcW w:type="dxa" w:w="4873"/>
          </w:tcPr>
          <w:p>
            <w:r>
              <w:rPr>
                <w:b/>
                <w:sz w:val="18"/>
              </w:rPr>
              <w:t>3. Une salariée revient de congé maternité. Son poste a été réattribué, on lui retire ses dossiers et on la laisse sans affectation pendant six semaines.</w:t>
            </w:r>
          </w:p>
        </w:tc>
        <w:tc>
          <w:tcPr>
            <w:tcW w:type="dxa" w:w="4873"/>
          </w:tcPr>
          <w:p>
            <w:r>
              <w:rPr>
                <w:b w:val="0"/>
                <w:sz w:val="18"/>
              </w:rPr>
              <w:t>HARCÈLEMENT — et de surcroît une discrimination liée à la maternité, sanctionnée à part.</w:t>
            </w:r>
          </w:p>
        </w:tc>
      </w:tr>
      <w:tr>
        <w:tc>
          <w:tcPr>
            <w:tcW w:type="dxa" w:w="4873"/>
          </w:tcPr>
          <w:p>
            <w:r>
              <w:rPr>
                <w:b/>
                <w:sz w:val="18"/>
              </w:rPr>
              <w:t>4. Deux collègues de même niveau se disputent régulièrement, chacun reprochant à l’autre son agressivité. Les torts paraissent partagés.</w:t>
            </w:r>
          </w:p>
        </w:tc>
        <w:tc>
          <w:tcPr>
            <w:tcW w:type="dxa" w:w="4873"/>
          </w:tcPr>
          <w:p>
            <w:r>
              <w:rPr>
                <w:b w:val="0"/>
                <w:sz w:val="18"/>
              </w:rPr>
              <w:t>PAS HARCÈLEMENT en l’état. Une mésentente réciproque ne suffit pas : la qualification suppose que la responsabilité soit clairement établie d’un côté.</w:t>
            </w:r>
          </w:p>
        </w:tc>
      </w:tr>
      <w:tr>
        <w:tc>
          <w:tcPr>
            <w:tcW w:type="dxa" w:w="4873"/>
          </w:tcPr>
          <w:p>
            <w:r>
              <w:rPr>
                <w:b/>
                <w:sz w:val="18"/>
              </w:rPr>
              <w:t>5. Un salarié affirme se sentir humilié, sans citer aucun fait précis, et produit une attestation générale d’un collègue.</w:t>
            </w:r>
          </w:p>
        </w:tc>
        <w:tc>
          <w:tcPr>
            <w:tcW w:type="dxa" w:w="4873"/>
          </w:tcPr>
          <w:p>
            <w:r>
              <w:rPr>
                <w:b w:val="0"/>
                <w:sz w:val="18"/>
              </w:rPr>
              <w:t>IL MANQUE UN ÉLÉMENT : des faits précis, datés et concordants. Le ressenti seul ne franchit pas le seuil de la présomption. Attention : cela ne dispense pas d’instruire le signalement.</w:t>
            </w:r>
          </w:p>
        </w:tc>
      </w:tr>
      <w:tr>
        <w:tc>
          <w:tcPr>
            <w:tcW w:type="dxa" w:w="4873"/>
          </w:tcPr>
          <w:p>
            <w:r>
              <w:rPr>
                <w:b/>
                <w:sz w:val="18"/>
              </w:rPr>
              <w:t>6. Pendant trois semaines, un salarié est installé dans un local sans chauffage, sans ordinateur, à l’écart des autres. Il n’a pas été en arrêt de travail.</w:t>
            </w:r>
          </w:p>
        </w:tc>
        <w:tc>
          <w:tcPr>
            <w:tcW w:type="dxa" w:w="4873"/>
          </w:tcPr>
          <w:p>
            <w:r>
              <w:rPr>
                <w:b w:val="0"/>
                <w:sz w:val="18"/>
              </w:rPr>
              <w:t>HARCÈLEMENT. Ni la durée ni l’altération avérée de la santé ne sont des conditions : le texte dit « susceptible de ».</w:t>
            </w:r>
          </w:p>
        </w:tc>
      </w:tr>
      <w:tr>
        <w:tc>
          <w:tcPr>
            <w:tcW w:type="dxa" w:w="4873"/>
          </w:tcPr>
          <w:p>
            <w:r>
              <w:rPr>
                <w:b/>
                <w:sz w:val="18"/>
              </w:rPr>
              <w:t>7. Un directeur, convaincu de bien faire, impose des objectifs révisés à la hausse chaque mois à un seul commercial pour « le faire progresser ». Celui-ci s’effondre.</w:t>
            </w:r>
          </w:p>
        </w:tc>
        <w:tc>
          <w:tcPr>
            <w:tcW w:type="dxa" w:w="4873"/>
          </w:tcPr>
          <w:p>
            <w:r>
              <w:rPr>
                <w:b w:val="0"/>
                <w:sz w:val="18"/>
              </w:rPr>
              <w:t>HARCÈLEMENT possible. L’intention de nuire n’est pas exigée. Ce qui compte, ce sont les agissements et leur effet.</w:t>
            </w:r>
          </w:p>
        </w:tc>
      </w:tr>
      <w:tr>
        <w:tc>
          <w:tcPr>
            <w:tcW w:type="dxa" w:w="4873"/>
          </w:tcPr>
          <w:p>
            <w:r>
              <w:rPr>
                <w:b/>
                <w:sz w:val="18"/>
              </w:rPr>
              <w:t>8. Six salariés d’un service décident, entre eux, de ne plus adresser la parole à une collègue. Aucun encadrant n’est à l’origine de la décision, mais le chef de service le sait.</w:t>
            </w:r>
          </w:p>
        </w:tc>
        <w:tc>
          <w:tcPr>
            <w:tcW w:type="dxa" w:w="4873"/>
          </w:tcPr>
          <w:p>
            <w:r>
              <w:rPr>
                <w:b w:val="0"/>
                <w:sz w:val="18"/>
              </w:rPr>
              <w:t>HARCÈLEMENT entre collègues — aucun lien de subordination n’est requis. Et l’encadrant qui le sait et laisse faire engage l’employeur au titre de l’obligation de sécurité.</w:t>
            </w:r>
          </w:p>
        </w:tc>
      </w:tr>
      <w:tr>
        <w:tc>
          <w:tcPr>
            <w:tcW w:type="dxa" w:w="4873"/>
          </w:tcPr>
          <w:p>
            <w:r>
              <w:rPr>
                <w:b/>
                <w:sz w:val="18"/>
              </w:rPr>
              <w:t>9. Une salariée écrit à son responsable : « je n’en peux plus de la manière dont il me parle ». Le mot harcèlement n’apparaît pas. Le responsable classe le message.</w:t>
            </w:r>
          </w:p>
        </w:tc>
        <w:tc>
          <w:tcPr>
            <w:tcW w:type="dxa" w:w="4873"/>
          </w:tcPr>
          <w:p>
            <w:r>
              <w:rPr>
                <w:b w:val="0"/>
                <w:sz w:val="18"/>
              </w:rPr>
              <w:t>IL MANQUE UN ÉLÉMENT — pas dans les faits, dans la réaction. C’est un signalement : l’obligation d’agir est déclenchée par la révélation des faits, non par les mots employés.</w:t>
            </w:r>
          </w:p>
        </w:tc>
      </w:tr>
      <w:tr>
        <w:tc>
          <w:tcPr>
            <w:tcW w:type="dxa" w:w="4873"/>
          </w:tcPr>
          <w:p>
            <w:r>
              <w:rPr>
                <w:b/>
                <w:sz w:val="18"/>
              </w:rPr>
              <w:t>10. Une réorganisation supprime un service entier. Tous les salariés changent de poste, y compris celui qui s’était plaint six mois plus tôt.</w:t>
            </w:r>
          </w:p>
        </w:tc>
        <w:tc>
          <w:tcPr>
            <w:tcW w:type="dxa" w:w="4873"/>
          </w:tcPr>
          <w:p>
            <w:r>
              <w:rPr>
                <w:b w:val="0"/>
                <w:sz w:val="18"/>
              </w:rPr>
              <w:t>PAS HARCÈLEMENT en soi — une réorganisation est une décision de gestion. MAIS le cas de celui qui s’était plaint doit être documenté séparément, par écrit et à l’avance : sinon, le lien sera présumé et la mesure encourt la nullité.</w:t>
            </w:r>
          </w:p>
        </w:tc>
      </w:tr>
    </w:tbl>
    <w:p>
      <w:pPr>
        <w:spacing w:before="240" w:after="80"/>
      </w:pPr>
      <w:r>
        <w:rPr>
          <w:b/>
          <w:i w:val="0"/>
          <w:color w:val="1F3B57"/>
          <w:sz w:val="25"/>
        </w:rPr>
        <w:t>Ce que l’action produit — les pièces à conserver</w:t>
      </w:r>
    </w:p>
    <w:p>
      <w:pPr>
        <w:pStyle w:val="ListBullet"/>
        <w:spacing w:after="40"/>
      </w:pPr>
      <w:r>
        <w:rPr>
          <w:sz w:val="20"/>
        </w:rPr>
        <w:t>Programme daté et signé par l’intervenant</w:t>
      </w:r>
    </w:p>
    <w:p>
      <w:pPr>
        <w:pStyle w:val="ListBullet"/>
        <w:spacing w:after="40"/>
      </w:pPr>
      <w:r>
        <w:rPr>
          <w:sz w:val="20"/>
        </w:rPr>
        <w:t>Feuille d’émargement par demi-journée</w:t>
      </w:r>
    </w:p>
    <w:p>
      <w:pPr>
        <w:pStyle w:val="ListBullet"/>
        <w:spacing w:after="40"/>
      </w:pPr>
      <w:r>
        <w:rPr>
          <w:sz w:val="20"/>
        </w:rPr>
        <w:t>Support remis à chaque participant, daté</w:t>
      </w:r>
    </w:p>
    <w:p>
      <w:pPr>
        <w:pStyle w:val="ListBullet"/>
        <w:spacing w:after="40"/>
      </w:pPr>
      <w:r>
        <w:rPr>
          <w:sz w:val="20"/>
        </w:rPr>
        <w:t>Questionnaire d’évaluation corrigé, nominatif</w:t>
      </w:r>
    </w:p>
    <w:p>
      <w:pPr>
        <w:pStyle w:val="ListBullet"/>
        <w:spacing w:after="40"/>
      </w:pPr>
      <w:r>
        <w:rPr>
          <w:sz w:val="20"/>
        </w:rPr>
        <w:t>Attestation individuelle de formation</w:t>
      </w:r>
    </w:p>
    <w:p>
      <w:pPr>
        <w:pStyle w:val="ListBullet"/>
        <w:spacing w:after="40"/>
      </w:pPr>
      <w:r>
        <w:rPr>
          <w:sz w:val="20"/>
        </w:rPr>
        <w:t>Liste des encadrants convoqués et des absents, avec la date de leur rattrapage</w:t>
      </w:r>
    </w:p>
    <w:p>
      <w:pPr>
        <w:spacing w:before="280" w:after="80"/>
      </w:pPr>
      <w:r>
        <w:rPr>
          <w:b/>
          <w:i w:val="0"/>
          <w:color w:val="1F3B57"/>
          <w:sz w:val="25"/>
        </w:rPr>
        <w:t>Feuille d’émargement</w:t>
      </w:r>
    </w:p>
    <w:p>
      <w:pPr>
        <w:spacing w:before="0" w:after="120"/>
      </w:pPr>
      <w:r>
        <w:rPr>
          <w:b w:val="0"/>
          <w:i/>
          <w:color w:val="555555"/>
          <w:sz w:val="19"/>
        </w:rPr>
        <w:t>À faire signer à chaque demi-journée. C’est cette feuille, et elle seule, qui prouve que la formation a eu lieu.</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tcPr>
          <w:p>
            <w:r/>
            <w:r>
              <w:rPr>
                <w:b/>
                <w:sz w:val="18"/>
              </w:rPr>
              <w:t>Nom et prénom</w:t>
            </w:r>
          </w:p>
        </w:tc>
        <w:tc>
          <w:tcPr>
            <w:tcW w:type="dxa" w:w="1949"/>
          </w:tcPr>
          <w:p>
            <w:r/>
            <w:r>
              <w:rPr>
                <w:b/>
                <w:sz w:val="18"/>
              </w:rPr>
              <w:t>Fonction</w:t>
            </w:r>
          </w:p>
        </w:tc>
        <w:tc>
          <w:tcPr>
            <w:tcW w:type="dxa" w:w="1949"/>
          </w:tcPr>
          <w:p>
            <w:r/>
            <w:r>
              <w:rPr>
                <w:b/>
                <w:sz w:val="18"/>
              </w:rPr>
              <w:t>Établissement</w:t>
            </w:r>
          </w:p>
        </w:tc>
        <w:tc>
          <w:tcPr>
            <w:tcW w:type="dxa" w:w="1949"/>
          </w:tcPr>
          <w:p>
            <w:r/>
            <w:r>
              <w:rPr>
                <w:b/>
                <w:sz w:val="18"/>
              </w:rPr>
              <w:t>Date</w:t>
            </w:r>
          </w:p>
        </w:tc>
        <w:tc>
          <w:tcPr>
            <w:tcW w:type="dxa" w:w="1949"/>
          </w:tcPr>
          <w:p>
            <w:r/>
            <w:r>
              <w:rPr>
                <w:b/>
                <w:sz w:val="18"/>
              </w:rPr>
              <w:t>Signature</w:t>
            </w: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bl>
    <w:p>
      <w:r>
        <w:br w:type="page"/>
      </w:r>
    </w:p>
    <w:p>
      <w:pPr>
        <w:spacing w:before="0" w:after="80"/>
      </w:pPr>
      <w:r>
        <w:rPr>
          <w:b/>
          <w:i w:val="0"/>
          <w:color w:val="1F3B57"/>
          <w:sz w:val="32"/>
        </w:rPr>
        <w:t>Action 8 — Former les référents</w:t>
      </w:r>
    </w:p>
    <w:p>
      <w:pPr>
        <w:spacing w:after="160"/>
        <w:pBdr>
          <w:bottom w:val="single" w:sz="8" w:color="C9A84C"/>
        </w:pBdr>
      </w:pPr>
    </w:p>
    <w:p>
      <w:pPr>
        <w:spacing w:before="0" w:after="60"/>
      </w:pPr>
      <w:r>
        <w:rPr>
          <w:b w:val="0"/>
          <w:i/>
          <w:color w:val="A0842E"/>
          <w:sz w:val="20"/>
        </w:rPr>
        <w:t>Articles L.2315-18 et L.4121-1 (2°) — programme de formation, quatorze heures</w:t>
      </w:r>
    </w:p>
    <w:p>
      <w:pPr>
        <w:spacing w:before="0" w:after="160"/>
      </w:pPr>
      <w:r>
        <w:rPr>
          <w:b/>
          <w:i w:val="0"/>
          <w:color w:val="1F3B57"/>
          <w:sz w:val="20"/>
        </w:rPr>
        <w:t>Met en œuvre : L.4121-2, 9° — donner les instructions appropriées aux travailleurs, à ceux dont c’est la mission de recevoir la parole.</w:t>
      </w:r>
    </w:p>
    <w:p>
      <w:pPr>
        <w:spacing w:before="0" w:after="120"/>
      </w:pPr>
      <w:r>
        <w:rPr>
          <w:b/>
          <w:i w:val="0"/>
          <w:sz w:val="21"/>
        </w:rPr>
        <w:t>Public : le référent désigné par le comité social et économique (article L.2314-1), le référent désigné par l’employeur dans les entreprises d’au moins deux cent cinquante salariés (article L.1153-5-1), et les membres de la commission santé, sécurité et conditions de travail lorsqu’elle existe.</w:t>
      </w:r>
    </w:p>
    <w:p>
      <w:pPr>
        <w:spacing w:before="0" w:after="120"/>
      </w:pPr>
      <w:r>
        <w:rPr>
          <w:b/>
          <w:i w:val="0"/>
          <w:sz w:val="21"/>
        </w:rPr>
        <w:t>Durée : deux jours, quatorze heures.</w:t>
      </w:r>
    </w:p>
    <w:p>
      <w:pPr>
        <w:spacing w:before="160" w:after="200"/>
      </w:pPr>
      <w:r>
        <w:rPr>
          <w:b w:val="0"/>
          <w:i w:val="0"/>
          <w:sz w:val="21"/>
        </w:rPr>
        <w:t>Objectif. Le référent est le point d’entrée. Mal formé, il devient le premier vice de procédure : promesse de confidentialité intenable, enquête bâclée, notes non datées, victime déplacée. Ce programme reprend le socle de l’action 7, puis ajoute ce qui lui est propre.</w:t>
      </w:r>
    </w:p>
    <w:p>
      <w:pPr>
        <w:spacing w:before="200" w:after="40"/>
      </w:pPr>
      <w:r>
        <w:rPr>
          <w:b/>
          <w:sz w:val="22"/>
        </w:rPr>
        <w:t>Module 1 — Le cadre juridique</w:t>
      </w:r>
      <w:r>
        <w:rPr>
          <w:b/>
          <w:color w:val="A0842E"/>
          <w:sz w:val="19"/>
        </w:rPr>
        <w:t xml:space="preserve">   3 h</w:t>
      </w:r>
    </w:p>
    <w:p>
      <w:pPr>
        <w:spacing w:before="0" w:after="100"/>
      </w:pPr>
      <w:r>
        <w:rPr>
          <w:b w:val="0"/>
          <w:i w:val="0"/>
          <w:sz w:val="21"/>
        </w:rPr>
        <w:t>Reprise intégrale des modules 1 à 5 et 8 de l’action 7 : définition et ses trois pièges, l’intention qui ne compte pas, ce que les juges retiennent, ce qu’ils écartent, le harcèlement managérial et institutionnel, les conséquences chiffrées.</w:t>
      </w:r>
    </w:p>
    <w:p>
      <w:pPr>
        <w:spacing w:before="0" w:after="100"/>
      </w:pPr>
      <w:r>
        <w:rPr>
          <w:b w:val="0"/>
          <w:i w:val="0"/>
          <w:sz w:val="21"/>
        </w:rPr>
        <w:t>Ajout propre au référent : le périmètre de sa mission. Il oriente, informe et accompagne. Il n’arbitre pas, ne qualifie pas juridiquement, ne décide pas de la sanction. Confondre le référent et l’enquêteur est la première erreur, et elle se paie au contentieux.</w:t>
      </w:r>
    </w:p>
    <w:p>
      <w:pPr>
        <w:spacing w:before="200" w:after="40"/>
      </w:pPr>
      <w:r>
        <w:rPr>
          <w:b/>
          <w:sz w:val="22"/>
        </w:rPr>
        <w:t>Module 2 — Recevoir la parole</w:t>
      </w:r>
      <w:r>
        <w:rPr>
          <w:b/>
          <w:color w:val="A0842E"/>
          <w:sz w:val="19"/>
        </w:rPr>
        <w:t xml:space="preserve">   3 h</w:t>
      </w:r>
    </w:p>
    <w:p>
      <w:pPr>
        <w:spacing w:before="0" w:after="100"/>
      </w:pPr>
      <w:r>
        <w:rPr>
          <w:b w:val="0"/>
          <w:i w:val="0"/>
          <w:sz w:val="21"/>
        </w:rPr>
        <w:t>Conduire un entretien de recueil : accueil, cadre annoncé, questions ouvertes, reconstitution chronologique, recherche de faits datés et localisés, identification des témoins et des traces écrites, relecture du compte rendu avec la personne, signature.</w:t>
      </w:r>
    </w:p>
    <w:p>
      <w:pPr>
        <w:spacing w:before="0" w:after="100"/>
      </w:pPr>
      <w:r>
        <w:rPr>
          <w:b w:val="0"/>
          <w:i w:val="0"/>
          <w:sz w:val="21"/>
        </w:rPr>
        <w:t>Ce qu’on note et comment. Des faits, pas des interprétations. « Le 12 mars, en réunion, devant six personnes, il m’a dit : … » et non « il m’humilie constamment ». C’est la première mise en forme de ce qui deviendra, éventuellement, un faisceau d’éléments.</w:t>
      </w:r>
    </w:p>
    <w:p>
      <w:pPr>
        <w:spacing w:before="0" w:after="100"/>
      </w:pPr>
      <w:r>
        <w:rPr>
          <w:b w:val="0"/>
          <w:i w:val="0"/>
          <w:sz w:val="21"/>
        </w:rPr>
        <w:t>Ce qu’on promet et ce qu’on ne promet pas. On ne promet jamais l’anonymat : la procédure suppose que l’auteur présumé puisse répondre. On promet la discrétion, un périmètre nommé de personnes informées, et un délai.</w:t>
      </w:r>
    </w:p>
    <w:p>
      <w:pPr>
        <w:spacing w:before="0" w:after="100"/>
      </w:pPr>
      <w:r>
        <w:rPr>
          <w:b w:val="0"/>
          <w:i w:val="0"/>
          <w:sz w:val="21"/>
        </w:rPr>
        <w:t>Repérer l’urgence. Idées suicidaires, arrêt de travail imminent, isolement total, consommation d’alcool ou de médicaments : dans ces cas, saisine du service de prévention et de santé au travail le jour même, et information de la direction sans attendre la fin du recueil.</w:t>
      </w:r>
    </w:p>
    <w:p>
      <w:pPr>
        <w:spacing w:after="100"/>
      </w:pPr>
      <w:r>
        <w:rPr>
          <w:b/>
          <w:color w:val="A0842E"/>
          <w:sz w:val="20"/>
        </w:rPr>
        <w:t xml:space="preserve">Exercice. </w:t>
      </w:r>
      <w:r>
        <w:rPr>
          <w:sz w:val="20"/>
        </w:rPr>
        <w:t>Deux entretiens joués et filmés si les participants y consentent, avec restitution sur la qualité des questions et la précision des notes.</w:t>
      </w:r>
    </w:p>
    <w:p>
      <w:pPr>
        <w:spacing w:before="200" w:after="40"/>
      </w:pPr>
      <w:r>
        <w:rPr>
          <w:b/>
          <w:sz w:val="22"/>
        </w:rPr>
        <w:t>Module 3 — Le régime de la preuve</w:t>
      </w:r>
      <w:r>
        <w:rPr>
          <w:b/>
          <w:color w:val="A0842E"/>
          <w:sz w:val="19"/>
        </w:rPr>
        <w:t xml:space="preserve">   2 h</w:t>
      </w:r>
    </w:p>
    <w:p>
      <w:pPr>
        <w:spacing w:before="0" w:after="100"/>
      </w:pPr>
      <w:r>
        <w:rPr>
          <w:b w:val="0"/>
          <w:i w:val="0"/>
          <w:sz w:val="21"/>
        </w:rPr>
        <w:t>Le salarié n’a pas à prouver le harcèlement : il présente des éléments de fait laissant supposer son existence (article L.1154-1). La charge de la preuve ne pèse pas sur lui (Cass. soc., 7 juillet 2021, n° 19-20.320). C’est ensuite à l’employeur de démontrer que ses décisions reposent sur des éléments objectifs étrangers à tout harcèlement.</w:t>
      </w:r>
    </w:p>
    <w:p>
      <w:pPr>
        <w:spacing w:before="0" w:after="100"/>
      </w:pPr>
      <w:r>
        <w:rPr>
          <w:b w:val="0"/>
          <w:i w:val="0"/>
          <w:sz w:val="21"/>
        </w:rPr>
        <w:t>La preuve est libre, et la Cour de cassation admet les modes les plus larges. Un enregistrement obtenu à l’insu de son auteur, par nature déloyal, a été jugé recevable dès lors qu’il est indispensable à l’exercice du droit à la preuve et proportionné au but poursuivi (Cass. soc., 10 juillet 2024, n° 23-14.900, faisant application de Cass. ass. plén., 22 décembre 2023, n° 20-20.648). Si un tel procédé est admis, les courriers, courriels, avis de la médecine du travail et attestations de tiers le sont a fortiori.</w:t>
      </w:r>
    </w:p>
    <w:p>
      <w:pPr>
        <w:spacing w:before="0" w:after="100"/>
      </w:pPr>
      <w:r>
        <w:rPr>
          <w:b w:val="0"/>
          <w:i w:val="0"/>
          <w:sz w:val="21"/>
        </w:rPr>
        <w:t>Le juge apprécie les éléments DANS LEUR ENSEMBLE, y compris les certificats médicaux (Cass. soc., 18 décembre 2024, n° 23-21.649). L’analyse fait par fait est censurée (Cass. soc., 11 mars 2026, n° 24-21.502). Un cumul de décisions défavorables, anodines prises isolément, peut caractériser un harcèlement.</w:t>
      </w:r>
    </w:p>
    <w:p>
      <w:pPr>
        <w:spacing w:after="100"/>
      </w:pPr>
      <w:r>
        <w:rPr>
          <w:b/>
          <w:color w:val="B23B3B"/>
          <w:sz w:val="20"/>
        </w:rPr>
        <w:t xml:space="preserve">Le piège. </w:t>
      </w:r>
      <w:r>
        <w:rPr>
          <w:sz w:val="20"/>
        </w:rPr>
        <w:t>Le référent qui écarte un signalement au motif qu’« il n’y a pas de preuve » se trompe de régime — et engage l’employeur.</w:t>
      </w:r>
    </w:p>
    <w:p>
      <w:pPr>
        <w:spacing w:before="200" w:after="40"/>
      </w:pPr>
      <w:r>
        <w:rPr>
          <w:b/>
          <w:sz w:val="22"/>
        </w:rPr>
        <w:t>Module 4 — Conduire une enquête</w:t>
      </w:r>
      <w:r>
        <w:rPr>
          <w:b/>
          <w:color w:val="A0842E"/>
          <w:sz w:val="19"/>
        </w:rPr>
        <w:t xml:space="preserve">   4 h, cas pratique complet</w:t>
      </w:r>
    </w:p>
    <w:p>
      <w:pPr>
        <w:spacing w:before="0" w:after="100"/>
      </w:pPr>
      <w:r>
        <w:rPr>
          <w:b w:val="0"/>
          <w:i w:val="0"/>
          <w:sz w:val="21"/>
        </w:rPr>
        <w:t>Décider s’il faut enquêter. L’enquête n’est pas obligatoire en soi : l’employeur peut satisfaire à son obligation sans enquête s’il a pris d’autres mesures suffisantes (Cass. soc., 12 juin 2024, n° 23-13.975). Mais la décision de ne pas enquêter doit être écrite et motivée. Et l’enquête, à l’inverse, ne suffit pas davantage à exonérer : elle ne remplace pas la prévention.</w:t>
      </w:r>
    </w:p>
    <w:p>
      <w:pPr>
        <w:spacing w:before="0" w:after="100"/>
      </w:pPr>
      <w:r>
        <w:rPr>
          <w:b w:val="0"/>
          <w:i w:val="0"/>
          <w:sz w:val="21"/>
        </w:rPr>
        <w:t>Composer la commission. Jamais l’auteur présumé, jamais le supérieur direct de la victime. De préférence à parité, avec un élu du comité. Deux à trois personnes, pas davantage.</w:t>
      </w:r>
    </w:p>
    <w:p>
      <w:pPr>
        <w:spacing w:before="0" w:after="100"/>
      </w:pPr>
      <w:r>
        <w:rPr>
          <w:b w:val="0"/>
          <w:i w:val="0"/>
          <w:sz w:val="21"/>
        </w:rPr>
        <w:t>La lettre de mission : périmètre, délai, méthode, confidentialité, destinataire du rapport.</w:t>
      </w:r>
    </w:p>
    <w:p>
      <w:pPr>
        <w:spacing w:before="0" w:after="100"/>
      </w:pPr>
      <w:r>
        <w:rPr>
          <w:b w:val="0"/>
          <w:i w:val="0"/>
          <w:sz w:val="21"/>
        </w:rPr>
        <w:t>Les auditions : la victime d’abord, puis l’auteur présumé, puis les témoins désignés par chacun. Un compte rendu par audition, relu et signé. Les auditions se tiennent hors de la vue des équipes.</w:t>
      </w:r>
    </w:p>
    <w:p>
      <w:pPr>
        <w:spacing w:before="0" w:after="100"/>
      </w:pPr>
      <w:r>
        <w:rPr>
          <w:b w:val="0"/>
          <w:i w:val="0"/>
          <w:sz w:val="21"/>
        </w:rPr>
        <w:t>Le rapport distingue trois catégories, et trois seulement : les faits établis, les faits non établis, les faits contestés. Il ne qualifie pas juridiquement à la place de l’employeur — c’est à ce dernier de décider, et au juge de qualifier.</w:t>
      </w:r>
    </w:p>
    <w:p>
      <w:pPr>
        <w:spacing w:after="100"/>
      </w:pPr>
      <w:r>
        <w:rPr>
          <w:b/>
          <w:color w:val="A0842E"/>
          <w:sz w:val="20"/>
        </w:rPr>
        <w:t xml:space="preserve">Exercice. </w:t>
      </w:r>
      <w:r>
        <w:rPr>
          <w:sz w:val="20"/>
        </w:rPr>
        <w:t>Un dossier complet est distribué — signalement, organigramme, courriels, plannings. Les participants composent la commission, rédigent la lettre de mission, mènent deux auditions jouées et rédigent le rapport. Restitution et correction.</w:t>
      </w:r>
    </w:p>
    <w:p>
      <w:pPr>
        <w:spacing w:before="200" w:after="40"/>
      </w:pPr>
      <w:r>
        <w:rPr>
          <w:b/>
          <w:sz w:val="22"/>
        </w:rPr>
        <w:t>Module 5 — Après l’enquête</w:t>
      </w:r>
      <w:r>
        <w:rPr>
          <w:b/>
          <w:color w:val="A0842E"/>
          <w:sz w:val="19"/>
        </w:rPr>
        <w:t xml:space="preserve">   1 h</w:t>
      </w:r>
    </w:p>
    <w:p>
      <w:pPr>
        <w:spacing w:before="0" w:after="100"/>
      </w:pPr>
      <w:r>
        <w:rPr>
          <w:b w:val="0"/>
          <w:i w:val="0"/>
          <w:sz w:val="21"/>
        </w:rPr>
        <w:t>Décision motivée, écrite, notifiée aux deux parties. Si les faits sont établis : sanction proportionnée, jusqu’au licenciement pour faute grave ; si l’auteur est un salarié protégé, autorisation préalable de l’inspection du travail (article L.2411-1).</w:t>
      </w:r>
    </w:p>
    <w:p>
      <w:pPr>
        <w:spacing w:before="0" w:after="100"/>
      </w:pPr>
      <w:r>
        <w:rPr>
          <w:b w:val="0"/>
          <w:i w:val="0"/>
          <w:sz w:val="21"/>
        </w:rPr>
        <w:t>Si les faits ne sont pas établis : le dire, sans mettre en cause la bonne foi de l’auteur du signalement. La mauvaise foi ne peut résulter que de la connaissance par le salarié de la fausseté des faits qu’il dénonce.</w:t>
      </w:r>
    </w:p>
    <w:p>
      <w:pPr>
        <w:spacing w:before="0" w:after="100"/>
      </w:pPr>
      <w:r>
        <w:rPr>
          <w:b w:val="0"/>
          <w:i w:val="0"/>
          <w:sz w:val="21"/>
        </w:rPr>
        <w:t>Mesures d’accompagnement : suivi médical, aménagement de poste, médiation si les deux parties y consentent — jamais imposée.</w:t>
      </w:r>
    </w:p>
    <w:p>
      <w:pPr>
        <w:spacing w:before="0" w:after="100"/>
      </w:pPr>
      <w:r>
        <w:rPr>
          <w:b w:val="0"/>
          <w:i w:val="0"/>
          <w:sz w:val="21"/>
        </w:rPr>
        <w:t>Information du comité, sans nommer les personnes. Mise à jour du document unique si le signalement révèle un risque non identifié — c’est le retour vers l’action 1.</w:t>
      </w:r>
    </w:p>
    <w:p>
      <w:pPr>
        <w:spacing w:before="0" w:after="100"/>
      </w:pPr>
      <w:r>
        <w:rPr>
          <w:b w:val="0"/>
          <w:i w:val="0"/>
          <w:sz w:val="21"/>
        </w:rPr>
        <w:t>Suivi à trois mois, écrit : vérifier que rien n’a repris et qu’aucune mesure défavorable n’a suivi la dénonciation. C’est là que se joue la nullité d’un licenciement ultérieur.</w:t>
      </w:r>
    </w:p>
    <w:p>
      <w:pPr>
        <w:spacing w:before="200" w:after="40"/>
      </w:pPr>
      <w:r>
        <w:rPr>
          <w:b/>
          <w:sz w:val="22"/>
        </w:rPr>
        <w:t>Module 6 — Les erreurs qui coûtent le procès</w:t>
      </w:r>
      <w:r>
        <w:rPr>
          <w:b/>
          <w:color w:val="A0842E"/>
          <w:sz w:val="19"/>
        </w:rPr>
        <w:t xml:space="preserve">   1 h</w:t>
      </w:r>
    </w:p>
    <w:p>
      <w:pPr>
        <w:spacing w:before="0" w:after="100"/>
      </w:pPr>
      <w:r>
        <w:rPr>
          <w:b w:val="0"/>
          <w:i w:val="0"/>
          <w:sz w:val="21"/>
        </w:rPr>
        <w:t>Déplacer la victime plutôt que l’auteur présumé — régulièrement retenu comme un élément supplémentaire de harcèlement.</w:t>
      </w:r>
    </w:p>
    <w:p>
      <w:pPr>
        <w:spacing w:before="0" w:after="100"/>
      </w:pPr>
      <w:r>
        <w:rPr>
          <w:b w:val="0"/>
          <w:i w:val="0"/>
          <w:sz w:val="21"/>
        </w:rPr>
        <w:t>Laisser l’auteur présumé participer à l’enquête, ou en être informé avant les auditions.</w:t>
      </w:r>
    </w:p>
    <w:p>
      <w:pPr>
        <w:spacing w:before="0" w:after="100"/>
      </w:pPr>
      <w:r>
        <w:rPr>
          <w:b w:val="0"/>
          <w:i w:val="0"/>
          <w:sz w:val="21"/>
        </w:rPr>
        <w:t>Ne pas dater les notes, ou les rédiger après coup.</w:t>
      </w:r>
    </w:p>
    <w:p>
      <w:pPr>
        <w:spacing w:before="0" w:after="100"/>
      </w:pPr>
      <w:r>
        <w:rPr>
          <w:b w:val="0"/>
          <w:i w:val="0"/>
          <w:sz w:val="21"/>
        </w:rPr>
        <w:t>Promettre l’anonymat, puis devoir le rompre.</w:t>
      </w:r>
    </w:p>
    <w:p>
      <w:pPr>
        <w:spacing w:before="0" w:after="100"/>
      </w:pPr>
      <w:r>
        <w:rPr>
          <w:b w:val="0"/>
          <w:i w:val="0"/>
          <w:sz w:val="21"/>
        </w:rPr>
        <w:t>Classer sans écrire — le classement sans trace équivaut à l’inaction.</w:t>
      </w:r>
    </w:p>
    <w:p>
      <w:pPr>
        <w:spacing w:before="0" w:after="100"/>
      </w:pPr>
      <w:r>
        <w:rPr>
          <w:b w:val="0"/>
          <w:i w:val="0"/>
          <w:sz w:val="21"/>
        </w:rPr>
        <w:t>Ne rien faire parce que le mot « harcèlement » n’a pas été prononcé.</w:t>
      </w:r>
    </w:p>
    <w:p>
      <w:pPr>
        <w:spacing w:before="0" w:after="100"/>
      </w:pPr>
      <w:r>
        <w:rPr>
          <w:b w:val="0"/>
          <w:i w:val="0"/>
          <w:sz w:val="21"/>
        </w:rPr>
        <w:t>Sanctionner, muter ou licencier le salarié qui a dénoncé : la rupture est nulle si elle est fondée sur cette dénonciation, et l’indemnité échappe au barème.</w:t>
      </w:r>
    </w:p>
    <w:p>
      <w:pPr>
        <w:spacing w:before="280" w:after="80"/>
      </w:pPr>
      <w:r>
        <w:rPr>
          <w:b/>
          <w:i w:val="0"/>
          <w:color w:val="1F3B57"/>
          <w:sz w:val="25"/>
        </w:rPr>
        <w:t>Le rapport d’enquête — son plan, rubrique par rubrique</w:t>
      </w:r>
    </w:p>
    <w:p>
      <w:pPr>
        <w:spacing w:before="0" w:after="120"/>
      </w:pPr>
      <w:r>
        <w:rPr>
          <w:b w:val="0"/>
          <w:i/>
          <w:color w:val="B23B3B"/>
          <w:sz w:val="19"/>
        </w:rPr>
        <w:t>Exemple pédagogique. Le rapport ne qualifie jamais juridiquement à la place de l’employeur : c’est à ce dernier de décider, et au juge de qualifier. Un rapport qui conclut « il y a harcèlement » ou « il n’y a pas harcèlement » expose l’entreprise dans les deux sens.</w:t>
      </w:r>
    </w:p>
    <w:tbl>
      <w:tblPr>
        <w:tblStyle w:val="TableGrid"/>
        <w:tblW w:type="auto" w:w="0"/>
        <w:tblLook w:firstColumn="1" w:firstRow="1" w:lastColumn="0" w:lastRow="0" w:noHBand="0" w:noVBand="1" w:val="04A0"/>
      </w:tblPr>
      <w:tblGrid>
        <w:gridCol w:w="2381"/>
        <w:gridCol w:w="6803"/>
      </w:tblGrid>
      <w:tr>
        <w:tc>
          <w:tcPr>
            <w:tcW w:type="dxa" w:w="4873"/>
          </w:tcPr>
          <w:p>
            <w:r>
              <w:rPr>
                <w:b/>
                <w:sz w:val="18"/>
              </w:rPr>
              <w:t>1. Saisine</w:t>
            </w:r>
          </w:p>
        </w:tc>
        <w:tc>
          <w:tcPr>
            <w:tcW w:type="dxa" w:w="4873"/>
          </w:tcPr>
          <w:p>
            <w:r>
              <w:rPr>
                <w:b w:val="0"/>
                <w:sz w:val="18"/>
              </w:rPr>
              <w:t>Qui a signalé, à qui, à quelle date, sous quelle forme. Date de l’accusé de réception. Reproduction du signalement, sans commentaire.</w:t>
            </w:r>
          </w:p>
        </w:tc>
      </w:tr>
      <w:tr>
        <w:tc>
          <w:tcPr>
            <w:tcW w:type="dxa" w:w="4873"/>
          </w:tcPr>
          <w:p>
            <w:r>
              <w:rPr>
                <w:b/>
                <w:sz w:val="18"/>
              </w:rPr>
              <w:t>2. Composition de la commission</w:t>
            </w:r>
          </w:p>
        </w:tc>
        <w:tc>
          <w:tcPr>
            <w:tcW w:type="dxa" w:w="4873"/>
          </w:tcPr>
          <w:p>
            <w:r>
              <w:rPr>
                <w:b w:val="0"/>
                <w:sz w:val="18"/>
              </w:rPr>
              <w:t>Noms, qualités, et la raison pour laquelle chacun a été retenu. Mention expresse que ni l’auteur présumé ni le supérieur direct de la personne qui a signalé n’en font partie.</w:t>
            </w:r>
          </w:p>
        </w:tc>
      </w:tr>
      <w:tr>
        <w:tc>
          <w:tcPr>
            <w:tcW w:type="dxa" w:w="4873"/>
          </w:tcPr>
          <w:p>
            <w:r>
              <w:rPr>
                <w:b/>
                <w:sz w:val="18"/>
              </w:rPr>
              <w:t>3. Lettre de mission</w:t>
            </w:r>
          </w:p>
        </w:tc>
        <w:tc>
          <w:tcPr>
            <w:tcW w:type="dxa" w:w="4873"/>
          </w:tcPr>
          <w:p>
            <w:r>
              <w:rPr>
                <w:b w:val="0"/>
                <w:sz w:val="18"/>
              </w:rPr>
              <w:t>Périmètre, délai imparti, méthode, règles de confidentialité, destinataire du rapport. Datée et signée par l’employeur.</w:t>
            </w:r>
          </w:p>
        </w:tc>
      </w:tr>
      <w:tr>
        <w:tc>
          <w:tcPr>
            <w:tcW w:type="dxa" w:w="4873"/>
          </w:tcPr>
          <w:p>
            <w:r>
              <w:rPr>
                <w:b/>
                <w:sz w:val="18"/>
              </w:rPr>
              <w:t>4. Chronologie des actes</w:t>
            </w:r>
          </w:p>
        </w:tc>
        <w:tc>
          <w:tcPr>
            <w:tcW w:type="dxa" w:w="4873"/>
          </w:tcPr>
          <w:p>
            <w:r>
              <w:rPr>
                <w:b w:val="0"/>
                <w:sz w:val="18"/>
              </w:rPr>
              <w:t>Tableau daté : signalement, mesures conservatoires, convocations, auditions, relances. Une ligne par acte. C’est cette rubrique qui prouve la réactivité.</w:t>
            </w:r>
          </w:p>
        </w:tc>
      </w:tr>
      <w:tr>
        <w:tc>
          <w:tcPr>
            <w:tcW w:type="dxa" w:w="4873"/>
          </w:tcPr>
          <w:p>
            <w:r>
              <w:rPr>
                <w:b/>
                <w:sz w:val="18"/>
              </w:rPr>
              <w:t>5. Personnes entendues</w:t>
            </w:r>
          </w:p>
        </w:tc>
        <w:tc>
          <w:tcPr>
            <w:tcW w:type="dxa" w:w="4873"/>
          </w:tcPr>
          <w:p>
            <w:r>
              <w:rPr>
                <w:b w:val="0"/>
                <w:sz w:val="18"/>
              </w:rPr>
              <w:t>Liste, avec la date de chaque audition et le nom de la personne qui a demandé leur audition. Mention des refus d’être entendu, et de leur motif.</w:t>
            </w:r>
          </w:p>
        </w:tc>
      </w:tr>
      <w:tr>
        <w:tc>
          <w:tcPr>
            <w:tcW w:type="dxa" w:w="4873"/>
          </w:tcPr>
          <w:p>
            <w:r>
              <w:rPr>
                <w:b/>
                <w:sz w:val="18"/>
              </w:rPr>
              <w:t>6. Faits établis</w:t>
            </w:r>
          </w:p>
        </w:tc>
        <w:tc>
          <w:tcPr>
            <w:tcW w:type="dxa" w:w="4873"/>
          </w:tcPr>
          <w:p>
            <w:r>
              <w:rPr>
                <w:b w:val="0"/>
                <w:sz w:val="18"/>
              </w:rPr>
              <w:t>Ceux qui sont corroborés par au moins deux sources concordantes, ou par une pièce. Rédigés en faits : date, lieu, personnes présentes, propos ou comportement. Aucune qualification juridique.</w:t>
            </w:r>
          </w:p>
        </w:tc>
      </w:tr>
      <w:tr>
        <w:tc>
          <w:tcPr>
            <w:tcW w:type="dxa" w:w="4873"/>
          </w:tcPr>
          <w:p>
            <w:r>
              <w:rPr>
                <w:b/>
                <w:sz w:val="18"/>
              </w:rPr>
              <w:t>7. Faits non établis</w:t>
            </w:r>
          </w:p>
        </w:tc>
        <w:tc>
          <w:tcPr>
            <w:tcW w:type="dxa" w:w="4873"/>
          </w:tcPr>
          <w:p>
            <w:r>
              <w:rPr>
                <w:b w:val="0"/>
                <w:sz w:val="18"/>
              </w:rPr>
              <w:t>Ceux pour lesquels aucun élément n’a été recueilli. Écrire « non établi » et non « faux » : ce n’est pas la même chose, et la nuance protège la bonne foi de celui qui a signalé.</w:t>
            </w:r>
          </w:p>
        </w:tc>
      </w:tr>
      <w:tr>
        <w:tc>
          <w:tcPr>
            <w:tcW w:type="dxa" w:w="4873"/>
          </w:tcPr>
          <w:p>
            <w:r>
              <w:rPr>
                <w:b/>
                <w:sz w:val="18"/>
              </w:rPr>
              <w:t>8. Faits contestés</w:t>
            </w:r>
          </w:p>
        </w:tc>
        <w:tc>
          <w:tcPr>
            <w:tcW w:type="dxa" w:w="4873"/>
          </w:tcPr>
          <w:p>
            <w:r>
              <w:rPr>
                <w:b w:val="0"/>
                <w:sz w:val="18"/>
              </w:rPr>
              <w:t>Ceux sur lesquels les versions divergent sans qu’aucune ne l’emporte. Les deux versions sont rapportées, côte à côte.</w:t>
            </w:r>
          </w:p>
        </w:tc>
      </w:tr>
      <w:tr>
        <w:tc>
          <w:tcPr>
            <w:tcW w:type="dxa" w:w="4873"/>
          </w:tcPr>
          <w:p>
            <w:r>
              <w:rPr>
                <w:b/>
                <w:sz w:val="18"/>
              </w:rPr>
              <w:t>9. Éléments de contexte</w:t>
            </w:r>
          </w:p>
        </w:tc>
        <w:tc>
          <w:tcPr>
            <w:tcW w:type="dxa" w:w="4873"/>
          </w:tcPr>
          <w:p>
            <w:r>
              <w:rPr>
                <w:b w:val="0"/>
                <w:sz w:val="18"/>
              </w:rPr>
              <w:t>Organisation du service, charge, mouvements de personnel, antécédents connus. Ce que l’enquête a appris sur l’organisation, indépendamment des personnes.</w:t>
            </w:r>
          </w:p>
        </w:tc>
      </w:tr>
      <w:tr>
        <w:tc>
          <w:tcPr>
            <w:tcW w:type="dxa" w:w="4873"/>
          </w:tcPr>
          <w:p>
            <w:r>
              <w:rPr>
                <w:b/>
                <w:sz w:val="18"/>
              </w:rPr>
              <w:t>10. Ce que la commission propose</w:t>
            </w:r>
          </w:p>
        </w:tc>
        <w:tc>
          <w:tcPr>
            <w:tcW w:type="dxa" w:w="4873"/>
          </w:tcPr>
          <w:p>
            <w:r>
              <w:rPr>
                <w:b w:val="0"/>
                <w:sz w:val="18"/>
              </w:rPr>
              <w:t>Des mesures, pas une qualification. Sur les personnes : mesures d’organisation, saisine disciplinaire, accompagnement. Sur l’organisation : ce qui doit remonter au document unique (action 1).</w:t>
            </w:r>
          </w:p>
        </w:tc>
      </w:tr>
      <w:tr>
        <w:tc>
          <w:tcPr>
            <w:tcW w:type="dxa" w:w="4873"/>
          </w:tcPr>
          <w:p>
            <w:r>
              <w:rPr>
                <w:b/>
                <w:sz w:val="18"/>
              </w:rPr>
              <w:t>11. Annexes</w:t>
            </w:r>
          </w:p>
        </w:tc>
        <w:tc>
          <w:tcPr>
            <w:tcW w:type="dxa" w:w="4873"/>
          </w:tcPr>
          <w:p>
            <w:r>
              <w:rPr>
                <w:b w:val="0"/>
                <w:sz w:val="18"/>
              </w:rPr>
              <w:t>Comptes rendus d’audition signés, pièces remises par les parties, lettre de mission, convocations. Numérotées et listées.</w:t>
            </w:r>
          </w:p>
        </w:tc>
      </w:tr>
      <w:tr>
        <w:tc>
          <w:tcPr>
            <w:tcW w:type="dxa" w:w="4873"/>
          </w:tcPr>
          <w:p>
            <w:r>
              <w:rPr>
                <w:b/>
                <w:sz w:val="18"/>
              </w:rPr>
              <w:t>12. Date et signatures</w:t>
            </w:r>
          </w:p>
        </w:tc>
        <w:tc>
          <w:tcPr>
            <w:tcW w:type="dxa" w:w="4873"/>
          </w:tcPr>
          <w:p>
            <w:r>
              <w:rPr>
                <w:b w:val="0"/>
                <w:sz w:val="18"/>
              </w:rPr>
              <w:t>Chaque membre de la commission signe. Le rapport est daté du jour de sa remise à l’employeur.</w:t>
            </w:r>
          </w:p>
        </w:tc>
      </w:tr>
    </w:tbl>
    <w:p>
      <w:pPr>
        <w:spacing w:before="240" w:after="80"/>
      </w:pPr>
      <w:r>
        <w:rPr>
          <w:b/>
          <w:i w:val="0"/>
          <w:color w:val="1F3B57"/>
          <w:sz w:val="25"/>
        </w:rPr>
        <w:t>Ce que l’action produit — les pièces à conserver</w:t>
      </w:r>
    </w:p>
    <w:p>
      <w:pPr>
        <w:pStyle w:val="ListBullet"/>
        <w:spacing w:after="40"/>
      </w:pPr>
      <w:r>
        <w:rPr>
          <w:sz w:val="20"/>
        </w:rPr>
        <w:t>Programme daté</w:t>
      </w:r>
    </w:p>
    <w:p>
      <w:pPr>
        <w:pStyle w:val="ListBullet"/>
        <w:spacing w:after="40"/>
      </w:pPr>
      <w:r>
        <w:rPr>
          <w:sz w:val="20"/>
        </w:rPr>
        <w:t>Feuille d’émargement</w:t>
      </w:r>
    </w:p>
    <w:p>
      <w:pPr>
        <w:pStyle w:val="ListBullet"/>
        <w:spacing w:after="40"/>
      </w:pPr>
      <w:r>
        <w:rPr>
          <w:sz w:val="20"/>
        </w:rPr>
        <w:t>Trame d’entretien de recueil</w:t>
      </w:r>
    </w:p>
    <w:p>
      <w:pPr>
        <w:pStyle w:val="ListBullet"/>
        <w:spacing w:after="40"/>
      </w:pPr>
      <w:r>
        <w:rPr>
          <w:sz w:val="20"/>
        </w:rPr>
        <w:t>Modèle de lettre de mission de la commission d’enquête</w:t>
      </w:r>
    </w:p>
    <w:p>
      <w:pPr>
        <w:pStyle w:val="ListBullet"/>
        <w:spacing w:after="40"/>
      </w:pPr>
      <w:r>
        <w:rPr>
          <w:sz w:val="20"/>
        </w:rPr>
        <w:t>Modèle de compte rendu d’audition</w:t>
      </w:r>
    </w:p>
    <w:p>
      <w:pPr>
        <w:pStyle w:val="ListBullet"/>
        <w:spacing w:after="40"/>
      </w:pPr>
      <w:r>
        <w:rPr>
          <w:sz w:val="20"/>
        </w:rPr>
        <w:t>Modèle de rapport d’enquête</w:t>
      </w:r>
    </w:p>
    <w:p>
      <w:pPr>
        <w:pStyle w:val="ListBullet"/>
        <w:spacing w:after="40"/>
      </w:pPr>
      <w:r>
        <w:rPr>
          <w:sz w:val="20"/>
        </w:rPr>
        <w:t>Attestation individuelle de formation</w:t>
      </w:r>
    </w:p>
    <w:p>
      <w:pPr>
        <w:spacing w:before="280" w:after="80"/>
      </w:pPr>
      <w:r>
        <w:rPr>
          <w:b/>
          <w:i w:val="0"/>
          <w:color w:val="1F3B57"/>
          <w:sz w:val="25"/>
        </w:rPr>
        <w:t>Feuille d’émargement</w:t>
      </w:r>
    </w:p>
    <w:p>
      <w:pPr>
        <w:spacing w:before="0" w:after="120"/>
      </w:pPr>
      <w:r>
        <w:rPr>
          <w:b w:val="0"/>
          <w:i/>
          <w:color w:val="555555"/>
          <w:sz w:val="19"/>
        </w:rPr>
        <w:t>À faire signer à chaque demi-journée. C’est cette feuille, et elle seule, qui prouve que la formation a eu lieu.</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tcPr>
          <w:p>
            <w:r/>
            <w:r>
              <w:rPr>
                <w:b/>
                <w:sz w:val="18"/>
              </w:rPr>
              <w:t>Nom et prénom</w:t>
            </w:r>
          </w:p>
        </w:tc>
        <w:tc>
          <w:tcPr>
            <w:tcW w:type="dxa" w:w="1949"/>
          </w:tcPr>
          <w:p>
            <w:r/>
            <w:r>
              <w:rPr>
                <w:b/>
                <w:sz w:val="18"/>
              </w:rPr>
              <w:t>Fonction</w:t>
            </w:r>
          </w:p>
        </w:tc>
        <w:tc>
          <w:tcPr>
            <w:tcW w:type="dxa" w:w="1949"/>
          </w:tcPr>
          <w:p>
            <w:r/>
            <w:r>
              <w:rPr>
                <w:b/>
                <w:sz w:val="18"/>
              </w:rPr>
              <w:t>Établissement</w:t>
            </w:r>
          </w:p>
        </w:tc>
        <w:tc>
          <w:tcPr>
            <w:tcW w:type="dxa" w:w="1949"/>
          </w:tcPr>
          <w:p>
            <w:r/>
            <w:r>
              <w:rPr>
                <w:b/>
                <w:sz w:val="18"/>
              </w:rPr>
              <w:t>Date</w:t>
            </w:r>
          </w:p>
        </w:tc>
        <w:tc>
          <w:tcPr>
            <w:tcW w:type="dxa" w:w="1949"/>
          </w:tcPr>
          <w:p>
            <w:r/>
            <w:r>
              <w:rPr>
                <w:b/>
                <w:sz w:val="18"/>
              </w:rPr>
              <w:t>Signature</w:t>
            </w: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bl>
    <w:p>
      <w:r>
        <w:br w:type="page"/>
      </w:r>
    </w:p>
    <w:p>
      <w:pPr>
        <w:spacing w:before="0" w:after="80"/>
      </w:pPr>
      <w:r>
        <w:rPr>
          <w:b/>
          <w:i w:val="0"/>
          <w:color w:val="1F3B57"/>
          <w:sz w:val="32"/>
        </w:rPr>
        <w:t>Action 9 — Informer l’ensemble des salariés</w:t>
      </w:r>
    </w:p>
    <w:p>
      <w:pPr>
        <w:spacing w:after="160"/>
        <w:pBdr>
          <w:bottom w:val="single" w:sz="8" w:color="C9A84C"/>
        </w:pBdr>
      </w:pPr>
    </w:p>
    <w:p>
      <w:pPr>
        <w:spacing w:before="0" w:after="60"/>
      </w:pPr>
      <w:r>
        <w:rPr>
          <w:b w:val="0"/>
          <w:i/>
          <w:color w:val="A0842E"/>
          <w:sz w:val="20"/>
        </w:rPr>
        <w:t>Article L.4121-1 (2°) — programme d’information, une heure trente</w:t>
      </w:r>
    </w:p>
    <w:p>
      <w:pPr>
        <w:spacing w:before="0" w:after="160"/>
      </w:pPr>
      <w:r>
        <w:rPr>
          <w:b/>
          <w:i w:val="0"/>
          <w:color w:val="1F3B57"/>
          <w:sz w:val="20"/>
        </w:rPr>
        <w:t>Met en œuvre : L.4121-2, 8° — donner la priorité aux mesures de protection collective ; et 9° — donner les instructions appropriées aux travailleurs.</w:t>
      </w:r>
    </w:p>
    <w:p>
      <w:pPr>
        <w:spacing w:before="0" w:after="120"/>
      </w:pPr>
      <w:r>
        <w:rPr>
          <w:b/>
          <w:i w:val="0"/>
          <w:sz w:val="21"/>
        </w:rPr>
        <w:t>Public : tout le personnel, y compris les contrats courts, les alternants et les intérimaires présents dans l’entreprise.</w:t>
      </w:r>
    </w:p>
    <w:p>
      <w:pPr>
        <w:spacing w:before="0" w:after="120"/>
      </w:pPr>
      <w:r>
        <w:rPr>
          <w:b/>
          <w:i w:val="0"/>
          <w:sz w:val="21"/>
        </w:rPr>
        <w:t>Durée : une heure trente en présentiel, ou un module écrit émargé. Rappel annuel.</w:t>
      </w:r>
    </w:p>
    <w:p>
      <w:pPr>
        <w:spacing w:before="160" w:after="200"/>
      </w:pPr>
      <w:r>
        <w:rPr>
          <w:b w:val="0"/>
          <w:i w:val="0"/>
          <w:sz w:val="21"/>
        </w:rPr>
        <w:t>Objectif. La loi parle d’actions d’information ET de formation. Former l’encadrement sans informer les salariés ne fait que la moitié du chemin. Et un salarié qui sait à qui parler parle plus tôt — c’est-à-dire avant que la situation ne devienne un contentieux.</w:t>
      </w:r>
    </w:p>
    <w:p>
      <w:pPr>
        <w:spacing w:before="200" w:after="40"/>
      </w:pPr>
      <w:r>
        <w:rPr>
          <w:b/>
          <w:sz w:val="22"/>
        </w:rPr>
        <w:t>Module 1 — Ce qu’est le harcèlement, en clair</w:t>
      </w:r>
      <w:r>
        <w:rPr>
          <w:b/>
          <w:color w:val="A0842E"/>
          <w:sz w:val="19"/>
        </w:rPr>
        <w:t xml:space="preserve">   30 min</w:t>
      </w:r>
    </w:p>
    <w:p>
      <w:pPr>
        <w:spacing w:before="0" w:after="100"/>
      </w:pPr>
      <w:r>
        <w:rPr>
          <w:b w:val="0"/>
          <w:i w:val="0"/>
          <w:sz w:val="21"/>
        </w:rPr>
        <w:t>La définition en mots simples, illustrée par cinq cas tirés de la jurisprudence : le poste vidé de son contenu, la mise à l’écart organisée par les collègues, l’absence de travail fourni, le retour de congé maternité, les pressions pour signer une rupture conventionnelle.</w:t>
      </w:r>
    </w:p>
    <w:p>
      <w:pPr>
        <w:spacing w:before="0" w:after="100"/>
      </w:pPr>
      <w:r>
        <w:rPr>
          <w:b w:val="0"/>
          <w:i w:val="0"/>
          <w:sz w:val="21"/>
        </w:rPr>
        <w:t>Et la limite, dite aussi clairement : un manager exigeant n’est pas un harceleur ; une sanction justifiée n’est pas du harcèlement ; un conflit aux torts partagés non plus. Dire la limite protège la crédibilité du dispositif.</w:t>
      </w:r>
    </w:p>
    <w:p>
      <w:pPr>
        <w:spacing w:before="0" w:after="100"/>
      </w:pPr>
      <w:r>
        <w:rPr>
          <w:b w:val="0"/>
          <w:i w:val="0"/>
          <w:sz w:val="21"/>
        </w:rPr>
        <w:t>Le harcèlement sexuel et les agissements sexistes sont traités dans le même module : définition, exemples, et le fait qu’un fait unique suffit en matière de harcèlement sexuel dès lors qu’il est grave.</w:t>
      </w:r>
    </w:p>
    <w:p>
      <w:pPr>
        <w:spacing w:before="200" w:after="40"/>
      </w:pPr>
      <w:r>
        <w:rPr>
          <w:b/>
          <w:sz w:val="22"/>
        </w:rPr>
        <w:t>Module 2 — Ce que vous devez savoir de vos droits</w:t>
      </w:r>
      <w:r>
        <w:rPr>
          <w:b/>
          <w:color w:val="A0842E"/>
          <w:sz w:val="19"/>
        </w:rPr>
        <w:t xml:space="preserve">   20 min</w:t>
      </w:r>
    </w:p>
    <w:p>
      <w:pPr>
        <w:spacing w:before="0" w:after="100"/>
      </w:pPr>
      <w:r>
        <w:rPr>
          <w:b w:val="0"/>
          <w:i w:val="0"/>
          <w:sz w:val="21"/>
        </w:rPr>
        <w:t>Vous n’avez pas à prouver le harcèlement : vous devez présenter des éléments de fait laissant supposer son existence. C’est ensuite à l’employeur de démontrer que ses décisions reposent sur des éléments objectifs.</w:t>
      </w:r>
    </w:p>
    <w:p>
      <w:pPr>
        <w:spacing w:before="0" w:after="100"/>
      </w:pPr>
      <w:r>
        <w:rPr>
          <w:b w:val="0"/>
          <w:i w:val="0"/>
          <w:sz w:val="21"/>
        </w:rPr>
        <w:t>Vous n’avez pas à employer le mot « harcèlement ». Décrire les faits suffit à déclencher l’obligation d’agir.</w:t>
      </w:r>
    </w:p>
    <w:p>
      <w:pPr>
        <w:spacing w:before="0" w:after="100"/>
      </w:pPr>
      <w:r>
        <w:rPr>
          <w:b w:val="0"/>
          <w:i w:val="0"/>
          <w:sz w:val="21"/>
        </w:rPr>
        <w:t>Vous êtes protégé si vous dénoncez de bonne foi. Aucune sanction, aucun licenciement, aucune mesure discriminatoire ne peut être prise pour avoir subi, refusé de subir, relaté ou témoigné de faits de harcèlement. Toute rupture prononcée en méconnaissance de cette règle est nulle.</w:t>
      </w:r>
    </w:p>
    <w:p>
      <w:pPr>
        <w:spacing w:before="0" w:after="100"/>
      </w:pPr>
      <w:r>
        <w:rPr>
          <w:b w:val="0"/>
          <w:i w:val="0"/>
          <w:sz w:val="21"/>
        </w:rPr>
        <w:t>Le témoin est protégé au même titre que la victime.</w:t>
      </w:r>
    </w:p>
    <w:p>
      <w:pPr>
        <w:spacing w:before="0" w:after="100"/>
      </w:pPr>
      <w:r>
        <w:rPr>
          <w:b w:val="0"/>
          <w:i w:val="0"/>
          <w:sz w:val="21"/>
        </w:rPr>
        <w:t>Conseil pratique donné en séance : écrivez ce qui se passe, au fur et à mesure, avec les dates et les personnes présentes. Conservez les courriels. La vraie question n’est pas « avez-vous un témoin ? » mais « avez-vous documenté ? ».</w:t>
      </w:r>
    </w:p>
    <w:p>
      <w:pPr>
        <w:spacing w:before="200" w:after="40"/>
      </w:pPr>
      <w:r>
        <w:rPr>
          <w:b/>
          <w:sz w:val="22"/>
        </w:rPr>
        <w:t>Module 3 — À qui parler</w:t>
      </w:r>
      <w:r>
        <w:rPr>
          <w:b/>
          <w:color w:val="A0842E"/>
          <w:sz w:val="19"/>
        </w:rPr>
        <w:t xml:space="preserve">   20 min</w:t>
      </w:r>
    </w:p>
    <w:p>
      <w:pPr>
        <w:spacing w:before="0" w:after="100"/>
      </w:pPr>
      <w:r>
        <w:rPr>
          <w:b w:val="0"/>
          <w:i w:val="0"/>
          <w:sz w:val="21"/>
        </w:rPr>
        <w:t>Les noms et les visages : le référent de l’entreprise, le référent du comité, les élus, le service de prévention et de santé au travail, l’inspection du travail avec le nom de l’agent, le Défenseur des droits.</w:t>
      </w:r>
    </w:p>
    <w:p>
      <w:pPr>
        <w:spacing w:before="0" w:after="100"/>
      </w:pPr>
      <w:r>
        <w:rPr>
          <w:b w:val="0"/>
          <w:i w:val="0"/>
          <w:sz w:val="21"/>
        </w:rPr>
        <w:t>Plusieurs portes d’entrée, jamais une seule. Vous pouvez contourner votre hiérarchie directe — c’est prévu, et c’est souvent nécessaire.</w:t>
      </w:r>
    </w:p>
    <w:p>
      <w:pPr>
        <w:spacing w:before="0" w:after="100"/>
      </w:pPr>
      <w:r>
        <w:rPr>
          <w:b w:val="0"/>
          <w:i w:val="0"/>
          <w:sz w:val="21"/>
        </w:rPr>
        <w:t>Une carte au format portefeuille, avec ces coordonnées, est remise à chaque participant et jointe au livret d’accueil.</w:t>
      </w:r>
    </w:p>
    <w:p>
      <w:pPr>
        <w:spacing w:before="200" w:after="40"/>
      </w:pPr>
      <w:r>
        <w:rPr>
          <w:b/>
          <w:sz w:val="22"/>
        </w:rPr>
        <w:t>Module 4 — Ce qui se passe ensuite</w:t>
      </w:r>
      <w:r>
        <w:rPr>
          <w:b/>
          <w:color w:val="A0842E"/>
          <w:sz w:val="19"/>
        </w:rPr>
        <w:t xml:space="preserve">   10 min</w:t>
      </w:r>
    </w:p>
    <w:p>
      <w:pPr>
        <w:spacing w:before="0" w:after="100"/>
      </w:pPr>
      <w:r>
        <w:rPr>
          <w:b w:val="0"/>
          <w:i w:val="0"/>
          <w:sz w:val="21"/>
        </w:rPr>
        <w:t>Le déroulé : accusé de réception sous quarante-huit heures, entretien de recueil, mesures conservatoires sous huit jours, enquête le cas échéant, décision motivée, suivi à trois mois.</w:t>
      </w:r>
    </w:p>
    <w:p>
      <w:pPr>
        <w:spacing w:before="0" w:after="100"/>
      </w:pPr>
      <w:r>
        <w:rPr>
          <w:b w:val="0"/>
          <w:i w:val="0"/>
          <w:sz w:val="21"/>
        </w:rPr>
        <w:t>Ce qui est confidentiel et ce qui ne peut pas l’être. Dire la vérité sur ce point évite les signalements retirés en cours de procédure.</w:t>
      </w:r>
    </w:p>
    <w:p>
      <w:pPr>
        <w:spacing w:before="200" w:after="40"/>
      </w:pPr>
      <w:r>
        <w:rPr>
          <w:b/>
          <w:sz w:val="22"/>
        </w:rPr>
        <w:t>Module 5 — Et si vous êtes témoin</w:t>
      </w:r>
      <w:r>
        <w:rPr>
          <w:b/>
          <w:color w:val="A0842E"/>
          <w:sz w:val="19"/>
        </w:rPr>
        <w:t xml:space="preserve">   10 min</w:t>
      </w:r>
    </w:p>
    <w:p>
      <w:pPr>
        <w:spacing w:before="0" w:after="100"/>
      </w:pPr>
      <w:r>
        <w:rPr>
          <w:b w:val="0"/>
          <w:i w:val="0"/>
          <w:sz w:val="21"/>
        </w:rPr>
        <w:t>Ce que vous pouvez faire : écrire ce que vous avez vu ou entendu, daté et signé, et le remettre au référent. Une attestation de témoin se rédige selon des règles simples, rappelées et distribuées.</w:t>
      </w:r>
    </w:p>
    <w:p>
      <w:pPr>
        <w:spacing w:before="0" w:after="100"/>
      </w:pPr>
      <w:r>
        <w:rPr>
          <w:b w:val="0"/>
          <w:i w:val="0"/>
          <w:sz w:val="21"/>
        </w:rPr>
        <w:t>Ce qu’il ne faut pas faire : enquêter soi-même, en parler à l’équipe, ou prendre parti publiquement.</w:t>
      </w:r>
    </w:p>
    <w:p>
      <w:pPr>
        <w:spacing w:before="280" w:after="80"/>
      </w:pPr>
      <w:r>
        <w:rPr>
          <w:b/>
          <w:i w:val="0"/>
          <w:color w:val="1F3B57"/>
          <w:sz w:val="25"/>
        </w:rPr>
        <w:t>L’attestation de témoin — ce qu’elle doit contenir</w:t>
      </w:r>
    </w:p>
    <w:p>
      <w:pPr>
        <w:spacing w:before="0" w:after="120"/>
      </w:pPr>
      <w:r>
        <w:rPr>
          <w:b w:val="0"/>
          <w:i/>
          <w:color w:val="B23B3B"/>
          <w:sz w:val="19"/>
        </w:rPr>
        <w:t>Exemple pédagogique. Ce modèle est remis en séance et joint au livret d’accueil. Il ne remplace pas les mentions du code de procédure civile applicables à l’attestation produite en justice, à vérifier au moment de l’usage.</w:t>
      </w:r>
    </w:p>
    <w:tbl>
      <w:tblPr>
        <w:tblStyle w:val="TableGrid"/>
        <w:tblW w:type="auto" w:w="0"/>
        <w:tblLook w:firstColumn="1" w:firstRow="1" w:lastColumn="0" w:lastRow="0" w:noHBand="0" w:noVBand="1" w:val="04A0"/>
      </w:tblPr>
      <w:tblGrid>
        <w:gridCol w:w="2381"/>
        <w:gridCol w:w="6803"/>
      </w:tblGrid>
      <w:tr>
        <w:tc>
          <w:tcPr>
            <w:tcW w:type="dxa" w:w="4873"/>
          </w:tcPr>
          <w:p>
            <w:r>
              <w:rPr>
                <w:b/>
                <w:sz w:val="18"/>
              </w:rPr>
              <w:t>Identité</w:t>
            </w:r>
          </w:p>
        </w:tc>
        <w:tc>
          <w:tcPr>
            <w:tcW w:type="dxa" w:w="4873"/>
          </w:tcPr>
          <w:p>
            <w:r>
              <w:rPr>
                <w:b w:val="0"/>
                <w:sz w:val="18"/>
              </w:rPr>
              <w:t>Nom, prénoms, date et lieu de naissance, adresse, profession. L’attestation anonyme n’a aucune valeur.</w:t>
            </w:r>
          </w:p>
        </w:tc>
      </w:tr>
      <w:tr>
        <w:tc>
          <w:tcPr>
            <w:tcW w:type="dxa" w:w="4873"/>
          </w:tcPr>
          <w:p>
            <w:r>
              <w:rPr>
                <w:b/>
                <w:sz w:val="18"/>
              </w:rPr>
              <w:t>Lien avec les parties</w:t>
            </w:r>
          </w:p>
        </w:tc>
        <w:tc>
          <w:tcPr>
            <w:tcW w:type="dxa" w:w="4873"/>
          </w:tcPr>
          <w:p>
            <w:r>
              <w:rPr>
                <w:b w:val="0"/>
                <w:sz w:val="18"/>
              </w:rPr>
              <w:t>Lien de parenté, d’alliance, de subordination, de collaboration ou de communauté d’intérêts avec l’une ou l’autre des personnes concernées. Le taire décrédibilise tout le reste ; le dire ne disqualifie pas le témoignage.</w:t>
            </w:r>
          </w:p>
        </w:tc>
      </w:tr>
      <w:tr>
        <w:tc>
          <w:tcPr>
            <w:tcW w:type="dxa" w:w="4873"/>
          </w:tcPr>
          <w:p>
            <w:r>
              <w:rPr>
                <w:b/>
                <w:sz w:val="18"/>
              </w:rPr>
              <w:t>La formule</w:t>
            </w:r>
          </w:p>
        </w:tc>
        <w:tc>
          <w:tcPr>
            <w:tcW w:type="dxa" w:w="4873"/>
          </w:tcPr>
          <w:p>
            <w:r>
              <w:rPr>
                <w:b w:val="0"/>
                <w:sz w:val="18"/>
              </w:rPr>
              <w:t>« Je sais que la présente attestation sera produite en justice et j’ai connaissance des sanctions pénales encourues en cas de fausse attestation. »</w:t>
            </w:r>
          </w:p>
        </w:tc>
      </w:tr>
      <w:tr>
        <w:tc>
          <w:tcPr>
            <w:tcW w:type="dxa" w:w="4873"/>
          </w:tcPr>
          <w:p>
            <w:r>
              <w:rPr>
                <w:b/>
                <w:sz w:val="18"/>
              </w:rPr>
              <w:t>Le récit</w:t>
            </w:r>
          </w:p>
        </w:tc>
        <w:tc>
          <w:tcPr>
            <w:tcW w:type="dxa" w:w="4873"/>
          </w:tcPr>
          <w:p>
            <w:r>
              <w:rPr>
                <w:b w:val="0"/>
                <w:sz w:val="18"/>
              </w:rPr>
              <w:t>Uniquement ce que le témoin a personnellement vu ou entendu. Ni ce qu’on lui a rapporté, ni ce qu’il en pense. Avec, pour chaque fait : la date, le lieu, les personnes présentes, et les propos rapportés entre guillemets aussi près que possible des termes employés.</w:t>
            </w:r>
          </w:p>
        </w:tc>
      </w:tr>
      <w:tr>
        <w:tc>
          <w:tcPr>
            <w:tcW w:type="dxa" w:w="4873"/>
          </w:tcPr>
          <w:p>
            <w:r>
              <w:rPr>
                <w:b/>
                <w:sz w:val="18"/>
              </w:rPr>
              <w:t>Ce qu’il faut éviter</w:t>
            </w:r>
          </w:p>
        </w:tc>
        <w:tc>
          <w:tcPr>
            <w:tcW w:type="dxa" w:w="4873"/>
          </w:tcPr>
          <w:p>
            <w:r>
              <w:rPr>
                <w:b w:val="0"/>
                <w:sz w:val="18"/>
              </w:rPr>
              <w:t>« Il l’humiliait constamment » ne vaut rien. « Le 12 mars, en réunion de service, devant six personnes, il lui a dit : … » vaut. Le premier est un jugement, le second est un fait.</w:t>
            </w:r>
          </w:p>
        </w:tc>
      </w:tr>
      <w:tr>
        <w:tc>
          <w:tcPr>
            <w:tcW w:type="dxa" w:w="4873"/>
          </w:tcPr>
          <w:p>
            <w:r>
              <w:rPr>
                <w:b/>
                <w:sz w:val="18"/>
              </w:rPr>
              <w:t>Pièces jointes</w:t>
            </w:r>
          </w:p>
        </w:tc>
        <w:tc>
          <w:tcPr>
            <w:tcW w:type="dxa" w:w="4873"/>
          </w:tcPr>
          <w:p>
            <w:r>
              <w:rPr>
                <w:b w:val="0"/>
                <w:sz w:val="18"/>
              </w:rPr>
              <w:t>Copie d’une pièce d’identité. Les courriels ou documents cités, le cas échéant.</w:t>
            </w:r>
          </w:p>
        </w:tc>
      </w:tr>
      <w:tr>
        <w:tc>
          <w:tcPr>
            <w:tcW w:type="dxa" w:w="4873"/>
          </w:tcPr>
          <w:p>
            <w:r>
              <w:rPr>
                <w:b/>
                <w:sz w:val="18"/>
              </w:rPr>
              <w:t>Forme</w:t>
            </w:r>
          </w:p>
        </w:tc>
        <w:tc>
          <w:tcPr>
            <w:tcW w:type="dxa" w:w="4873"/>
          </w:tcPr>
          <w:p>
            <w:r>
              <w:rPr>
                <w:b w:val="0"/>
                <w:sz w:val="18"/>
              </w:rPr>
              <w:t>Manuscrite ou dactylographiée, mais datée et signée de la main du témoin.</w:t>
            </w:r>
          </w:p>
        </w:tc>
      </w:tr>
      <w:tr>
        <w:tc>
          <w:tcPr>
            <w:tcW w:type="dxa" w:w="4873"/>
          </w:tcPr>
          <w:p>
            <w:r>
              <w:rPr>
                <w:b/>
                <w:sz w:val="18"/>
              </w:rPr>
              <w:t>Ce qui est rappelé au témoin</w:t>
            </w:r>
          </w:p>
        </w:tc>
        <w:tc>
          <w:tcPr>
            <w:tcW w:type="dxa" w:w="4873"/>
          </w:tcPr>
          <w:p>
            <w:r>
              <w:rPr>
                <w:b w:val="0"/>
                <w:sz w:val="18"/>
              </w:rPr>
              <w:t>Il est protégé au même titre que la victime : aucune sanction, aucun licenciement, aucune mesure discriminatoire ne peut être prise contre lui pour avoir témoigné de faits de harcèlement.</w:t>
            </w:r>
          </w:p>
        </w:tc>
      </w:tr>
    </w:tbl>
    <w:p>
      <w:pPr>
        <w:spacing w:before="240" w:after="80"/>
      </w:pPr>
      <w:r>
        <w:rPr>
          <w:b/>
          <w:i w:val="0"/>
          <w:color w:val="1F3B57"/>
          <w:sz w:val="25"/>
        </w:rPr>
        <w:t>Ce que l’action produit — les pièces à conserver</w:t>
      </w:r>
    </w:p>
    <w:p>
      <w:pPr>
        <w:pStyle w:val="ListBullet"/>
        <w:spacing w:after="40"/>
      </w:pPr>
      <w:r>
        <w:rPr>
          <w:sz w:val="20"/>
        </w:rPr>
        <w:t>Support diffusé, daté</w:t>
      </w:r>
    </w:p>
    <w:p>
      <w:pPr>
        <w:pStyle w:val="ListBullet"/>
        <w:spacing w:after="40"/>
      </w:pPr>
      <w:r>
        <w:rPr>
          <w:sz w:val="20"/>
        </w:rPr>
        <w:t>Liste des destinataires, rapprochée de l’effectif à la date</w:t>
      </w:r>
    </w:p>
    <w:p>
      <w:pPr>
        <w:pStyle w:val="ListBullet"/>
        <w:spacing w:after="40"/>
      </w:pPr>
      <w:r>
        <w:rPr>
          <w:sz w:val="20"/>
        </w:rPr>
        <w:t>Émargement ou accusé de lecture horodaté</w:t>
      </w:r>
    </w:p>
    <w:p>
      <w:pPr>
        <w:pStyle w:val="ListBullet"/>
        <w:spacing w:after="40"/>
      </w:pPr>
      <w:r>
        <w:rPr>
          <w:sz w:val="20"/>
        </w:rPr>
        <w:t>Carte de contacts remise, avec sa date de version</w:t>
      </w:r>
    </w:p>
    <w:p>
      <w:pPr>
        <w:pStyle w:val="ListBullet"/>
        <w:spacing w:after="40"/>
      </w:pPr>
      <w:r>
        <w:rPr>
          <w:sz w:val="20"/>
        </w:rPr>
        <w:t>Modèle d’attestation de témoin distribué</w:t>
      </w:r>
    </w:p>
    <w:p>
      <w:pPr>
        <w:pStyle w:val="ListBullet"/>
        <w:spacing w:after="40"/>
      </w:pPr>
      <w:r>
        <w:rPr>
          <w:sz w:val="20"/>
        </w:rPr>
        <w:t>Liste des absents et date de leur session de rattrapage</w:t>
      </w:r>
    </w:p>
    <w:p>
      <w:pPr>
        <w:spacing w:before="280" w:after="80"/>
      </w:pPr>
      <w:r>
        <w:rPr>
          <w:b/>
          <w:i w:val="0"/>
          <w:color w:val="1F3B57"/>
          <w:sz w:val="25"/>
        </w:rPr>
        <w:t>Feuille d’émargement</w:t>
      </w:r>
    </w:p>
    <w:p>
      <w:pPr>
        <w:spacing w:before="0" w:after="120"/>
      </w:pPr>
      <w:r>
        <w:rPr>
          <w:b w:val="0"/>
          <w:i/>
          <w:color w:val="555555"/>
          <w:sz w:val="19"/>
        </w:rPr>
        <w:t>À faire signer à chaque demi-journée. C’est cette feuille, et elle seule, qui prouve que la formation a eu lieu.</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tcPr>
          <w:p>
            <w:r/>
            <w:r>
              <w:rPr>
                <w:b/>
                <w:sz w:val="18"/>
              </w:rPr>
              <w:t>Nom et prénom</w:t>
            </w:r>
          </w:p>
        </w:tc>
        <w:tc>
          <w:tcPr>
            <w:tcW w:type="dxa" w:w="1949"/>
          </w:tcPr>
          <w:p>
            <w:r/>
            <w:r>
              <w:rPr>
                <w:b/>
                <w:sz w:val="18"/>
              </w:rPr>
              <w:t>Fonction</w:t>
            </w:r>
          </w:p>
        </w:tc>
        <w:tc>
          <w:tcPr>
            <w:tcW w:type="dxa" w:w="1949"/>
          </w:tcPr>
          <w:p>
            <w:r/>
            <w:r>
              <w:rPr>
                <w:b/>
                <w:sz w:val="18"/>
              </w:rPr>
              <w:t>Établissement</w:t>
            </w:r>
          </w:p>
        </w:tc>
        <w:tc>
          <w:tcPr>
            <w:tcW w:type="dxa" w:w="1949"/>
          </w:tcPr>
          <w:p>
            <w:r/>
            <w:r>
              <w:rPr>
                <w:b/>
                <w:sz w:val="18"/>
              </w:rPr>
              <w:t>Date</w:t>
            </w:r>
          </w:p>
        </w:tc>
        <w:tc>
          <w:tcPr>
            <w:tcW w:type="dxa" w:w="1949"/>
          </w:tcPr>
          <w:p>
            <w:r/>
            <w:r>
              <w:rPr>
                <w:b/>
                <w:sz w:val="18"/>
              </w:rPr>
              <w:t>Signature</w:t>
            </w: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r>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c>
          <w:tcPr>
            <w:tcW w:type="dxa" w:w="1949"/>
          </w:tcPr>
          <w:p>
            <w:pPr>
              <w:spacing w:after="160"/>
            </w:pPr>
          </w:p>
        </w:tc>
      </w:tr>
    </w:tbl>
    <w:p>
      <w:r>
        <w:br w:type="page"/>
      </w:r>
    </w:p>
    <w:p>
      <w:pPr>
        <w:spacing w:before="0" w:after="80"/>
      </w:pPr>
      <w:r>
        <w:rPr>
          <w:b/>
          <w:i w:val="0"/>
          <w:color w:val="1F3B57"/>
          <w:sz w:val="32"/>
        </w:rPr>
        <w:t>Action 10 — Informer à l’embauche</w:t>
      </w:r>
    </w:p>
    <w:p>
      <w:pPr>
        <w:spacing w:after="160"/>
        <w:pBdr>
          <w:bottom w:val="single" w:sz="8" w:color="C9A84C"/>
        </w:pBdr>
      </w:pPr>
    </w:p>
    <w:p>
      <w:pPr>
        <w:spacing w:before="0" w:after="60"/>
      </w:pPr>
      <w:r>
        <w:rPr>
          <w:b w:val="0"/>
          <w:i/>
          <w:color w:val="A0842E"/>
          <w:sz w:val="20"/>
        </w:rPr>
        <w:t>Articles L.4121-1 (2°), L.1153-5 et L.1153-2</w:t>
      </w:r>
    </w:p>
    <w:p>
      <w:pPr>
        <w:spacing w:before="0" w:after="160"/>
      </w:pPr>
      <w:r>
        <w:rPr>
          <w:b/>
          <w:i w:val="0"/>
          <w:color w:val="1F3B57"/>
          <w:sz w:val="20"/>
        </w:rPr>
        <w:t>Met en œuvre : L.4121-2, 9° — donner les instructions appropriées aux travailleurs, au moment où ils arrivent.</w:t>
      </w:r>
    </w:p>
    <w:p>
      <w:pPr>
        <w:spacing w:before="0" w:after="100"/>
      </w:pPr>
      <w:r>
        <w:rPr>
          <w:b w:val="0"/>
          <w:i w:val="0"/>
          <w:sz w:val="21"/>
        </w:rPr>
        <w:t>L’information collective annuelle (action 9) laisse un trou : ceux qui arrivent entre deux sessions. Ce sont précisément les plus exposés — période d’essai, contrat court, alternance, peur de déplaire. Un entrant non informé est aussi la ligne que l’avocat adverse trouvera dans votre effectif.</w:t>
      </w:r>
    </w:p>
    <w:p>
      <w:pPr>
        <w:spacing w:before="240" w:after="80"/>
      </w:pPr>
      <w:r>
        <w:rPr>
          <w:b/>
          <w:i w:val="0"/>
          <w:color w:val="1F3B57"/>
          <w:sz w:val="25"/>
        </w:rPr>
        <w:t>Ce que le code exige — et ce qu’il n’exige pas</w:t>
      </w:r>
    </w:p>
    <w:p>
      <w:pPr>
        <w:spacing w:before="0" w:after="100"/>
      </w:pPr>
      <w:r>
        <w:rPr>
          <w:b w:val="0"/>
          <w:i w:val="0"/>
          <w:sz w:val="21"/>
        </w:rPr>
        <w:t>L’information sur le harcèlement sexuel vise expressément, outre les salariés, les personnes en formation ou en stage et les candidats à un recrutement, à une formation ou à un stage : c’est le champ de l’article L.1153-2, auquel renvoie l’obligation d’information. Et l’affichage doit se trouver dans les locaux, ou à la porte des locaux, où se fait l’embauche.</w:t>
      </w:r>
    </w:p>
    <w:p>
      <w:pPr>
        <w:spacing w:before="0" w:after="100"/>
      </w:pPr>
      <w:r>
        <w:rPr>
          <w:b/>
          <w:i w:val="0"/>
          <w:sz w:val="21"/>
        </w:rPr>
        <w:t>Ce que le code n’impose pas : ni notice, ni émargement à l’embauche. C’est notre recommandation, et c’est ce qui se prouve. Un affichage à la porte du local d’embauche ne démontre pas qu’un salarié donné a été informé ; une notice émargée le démontre pour chacun.</w:t>
      </w:r>
    </w:p>
    <w:p>
      <w:pPr>
        <w:spacing w:before="280" w:after="80"/>
      </w:pPr>
      <w:r>
        <w:rPr>
          <w:b/>
          <w:i w:val="0"/>
          <w:color w:val="1F3B57"/>
          <w:sz w:val="25"/>
        </w:rPr>
        <w:t>La notice remise à l’embauche — son sommaire, rédigé</w:t>
      </w:r>
    </w:p>
    <w:p>
      <w:pPr>
        <w:spacing w:before="0" w:after="120"/>
      </w:pPr>
      <w:r>
        <w:rPr>
          <w:b w:val="0"/>
          <w:i/>
          <w:color w:val="B23B3B"/>
          <w:sz w:val="19"/>
        </w:rPr>
        <w:t>Exemple pédagogique. La notice doit tenir en deux pages : au-delà, elle n’est pas lue, et une notice non lue ne prévient rien même si elle est émargée.</w:t>
      </w:r>
    </w:p>
    <w:tbl>
      <w:tblPr>
        <w:tblStyle w:val="TableGrid"/>
        <w:tblW w:type="auto" w:w="0"/>
        <w:tblLook w:firstColumn="1" w:firstRow="1" w:lastColumn="0" w:lastRow="0" w:noHBand="0" w:noVBand="1" w:val="04A0"/>
      </w:tblPr>
      <w:tblGrid>
        <w:gridCol w:w="2381"/>
        <w:gridCol w:w="6803"/>
      </w:tblGrid>
      <w:tr>
        <w:tc>
          <w:tcPr>
            <w:tcW w:type="dxa" w:w="4873"/>
          </w:tcPr>
          <w:p>
            <w:r>
              <w:rPr>
                <w:b/>
                <w:sz w:val="18"/>
              </w:rPr>
              <w:t>Titre</w:t>
            </w:r>
          </w:p>
        </w:tc>
        <w:tc>
          <w:tcPr>
            <w:tcW w:type="dxa" w:w="4873"/>
          </w:tcPr>
          <w:p>
            <w:r>
              <w:rPr>
                <w:b w:val="0"/>
                <w:sz w:val="18"/>
              </w:rPr>
              <w:t>Ce que vous devez savoir en arrivant : harcèlement moral, harcèlement sexuel, agissements sexistes. Deux pages, remises le premier jour.</w:t>
            </w:r>
          </w:p>
        </w:tc>
      </w:tr>
      <w:tr>
        <w:tc>
          <w:tcPr>
            <w:tcW w:type="dxa" w:w="4873"/>
          </w:tcPr>
          <w:p>
            <w:r>
              <w:rPr>
                <w:b/>
                <w:sz w:val="18"/>
              </w:rPr>
              <w:t>1. Ce que l’entreprise interdit</w:t>
            </w:r>
          </w:p>
        </w:tc>
        <w:tc>
          <w:tcPr>
            <w:tcW w:type="dxa" w:w="4873"/>
          </w:tcPr>
          <w:p>
            <w:r>
              <w:rPr>
                <w:b w:val="0"/>
                <w:sz w:val="18"/>
              </w:rPr>
              <w:t>Trois phrases, en clair : ce qu’est le harcèlement moral, ce qu’est le harcèlement sexuel, ce qu’est un agissement sexiste. Deux exemples concrets pour chacun, tirés de situations de travail, pas de définitions juridiques.</w:t>
            </w:r>
          </w:p>
        </w:tc>
      </w:tr>
      <w:tr>
        <w:tc>
          <w:tcPr>
            <w:tcW w:type="dxa" w:w="4873"/>
          </w:tcPr>
          <w:p>
            <w:r>
              <w:rPr>
                <w:b/>
                <w:sz w:val="18"/>
              </w:rPr>
              <w:t>2. Ce qui n’en est pas</w:t>
            </w:r>
          </w:p>
        </w:tc>
        <w:tc>
          <w:tcPr>
            <w:tcW w:type="dxa" w:w="4873"/>
          </w:tcPr>
          <w:p>
            <w:r>
              <w:rPr>
                <w:b w:val="0"/>
                <w:sz w:val="18"/>
              </w:rPr>
              <w:t>Un manager exigeant, une sanction justifiée, une évaluation basse motivée, une réorganisation. Le dire protège la crédibilité du dispositif — et évite les signalements de confort qui décrédibilisent les vrais.</w:t>
            </w:r>
          </w:p>
        </w:tc>
      </w:tr>
      <w:tr>
        <w:tc>
          <w:tcPr>
            <w:tcW w:type="dxa" w:w="4873"/>
          </w:tcPr>
          <w:p>
            <w:r>
              <w:rPr>
                <w:b/>
                <w:sz w:val="18"/>
              </w:rPr>
              <w:t>3. À qui parler</w:t>
            </w:r>
          </w:p>
        </w:tc>
        <w:tc>
          <w:tcPr>
            <w:tcW w:type="dxa" w:w="4873"/>
          </w:tcPr>
          <w:p>
            <w:r>
              <w:rPr>
                <w:b w:val="0"/>
                <w:sz w:val="18"/>
              </w:rPr>
              <w:t>Les noms, pas les fonctions : [référent employeur], [référent du comité], [élus], [service de santé au travail], [inspection du travail — nom de l’agent], Défenseur des droits. Vous n’êtes pas obligé de passer par votre responsable.</w:t>
            </w:r>
          </w:p>
        </w:tc>
      </w:tr>
      <w:tr>
        <w:tc>
          <w:tcPr>
            <w:tcW w:type="dxa" w:w="4873"/>
          </w:tcPr>
          <w:p>
            <w:r>
              <w:rPr>
                <w:b/>
                <w:sz w:val="18"/>
              </w:rPr>
              <w:t>4. Ce qui se passe si vous parlez</w:t>
            </w:r>
          </w:p>
        </w:tc>
        <w:tc>
          <w:tcPr>
            <w:tcW w:type="dxa" w:w="4873"/>
          </w:tcPr>
          <w:p>
            <w:r>
              <w:rPr>
                <w:b w:val="0"/>
                <w:sz w:val="18"/>
              </w:rPr>
              <w:t>Accusé de réception sous 48 heures, entretien sous 8 jours, décision écrite et motivée, suivi à trois mois. Renvoi à la procédure complète (action 6), avec l’endroit où la trouver.</w:t>
            </w:r>
          </w:p>
        </w:tc>
      </w:tr>
      <w:tr>
        <w:tc>
          <w:tcPr>
            <w:tcW w:type="dxa" w:w="4873"/>
          </w:tcPr>
          <w:p>
            <w:r>
              <w:rPr>
                <w:b/>
                <w:sz w:val="18"/>
              </w:rPr>
              <w:t>5. Votre protection</w:t>
            </w:r>
          </w:p>
        </w:tc>
        <w:tc>
          <w:tcPr>
            <w:tcW w:type="dxa" w:w="4873"/>
          </w:tcPr>
          <w:p>
            <w:r>
              <w:rPr>
                <w:b w:val="0"/>
                <w:sz w:val="18"/>
              </w:rPr>
              <w:t>Aucune sanction, aucun licenciement, aucune mesure discriminatoire pour avoir subi, refusé de subir, relaté ou témoigné. Vous êtes protégé dès lors que vous êtes de bonne foi. Les témoins le sont aussi. Cette protection s’applique dès le premier jour, y compris pendant la période d’essai.</w:t>
            </w:r>
          </w:p>
        </w:tc>
      </w:tr>
      <w:tr>
        <w:tc>
          <w:tcPr>
            <w:tcW w:type="dxa" w:w="4873"/>
          </w:tcPr>
          <w:p>
            <w:r>
              <w:rPr>
                <w:b/>
                <w:sz w:val="18"/>
              </w:rPr>
              <w:t>6. Un conseil pratique</w:t>
            </w:r>
          </w:p>
        </w:tc>
        <w:tc>
          <w:tcPr>
            <w:tcW w:type="dxa" w:w="4873"/>
          </w:tcPr>
          <w:p>
            <w:r>
              <w:rPr>
                <w:b w:val="0"/>
                <w:sz w:val="18"/>
              </w:rPr>
              <w:t>Écrivez ce qui se passe au fur et à mesure, avec les dates et les personnes présentes. Conservez les courriels. Vous n’avez pas à prouver le harcèlement, mais des faits datés valent mieux qu’un souvenir.</w:t>
            </w:r>
          </w:p>
        </w:tc>
      </w:tr>
      <w:tr>
        <w:tc>
          <w:tcPr>
            <w:tcW w:type="dxa" w:w="4873"/>
          </w:tcPr>
          <w:p>
            <w:r>
              <w:rPr>
                <w:b/>
                <w:sz w:val="18"/>
              </w:rPr>
              <w:t>Pied de page — l’émargement</w:t>
            </w:r>
          </w:p>
        </w:tc>
        <w:tc>
          <w:tcPr>
            <w:tcW w:type="dxa" w:w="4873"/>
          </w:tcPr>
          <w:p>
            <w:r>
              <w:rPr>
                <w:b w:val="0"/>
                <w:sz w:val="18"/>
              </w:rPr>
              <w:t>Je reconnais avoir reçu ce jour la notice « harcèlement — ce que vous devez savoir », version du [date]. Nom, prénom, date d’entrée, date de remise, signature. Exemplaire conservé au dossier, copie remise au salarié.</w:t>
            </w:r>
          </w:p>
        </w:tc>
      </w:tr>
    </w:tbl>
    <w:p>
      <w:pPr>
        <w:spacing w:before="240" w:after="80"/>
      </w:pPr>
      <w:r>
        <w:rPr>
          <w:b/>
          <w:i w:val="0"/>
          <w:color w:val="1F3B57"/>
          <w:sz w:val="25"/>
        </w:rPr>
        <w:t>Les cinq minutes à l’oral, et le contrôle mensuel</w:t>
      </w:r>
    </w:p>
    <w:p>
      <w:pPr>
        <w:spacing w:before="0" w:after="100"/>
      </w:pPr>
      <w:r>
        <w:rPr>
          <w:b w:val="0"/>
          <w:i w:val="0"/>
          <w:sz w:val="21"/>
        </w:rPr>
        <w:t>La notice se remet, et elle se dit. Cinq minutes pendant l’accueil : à qui parler, et le fait que l’entreprise attend qu’on parle tôt plutôt que d’attendre que la situation s’installe. Ce sont ces cinq minutes qui font qu’un salarié ose, six mois plus tard.</w:t>
      </w:r>
    </w:p>
    <w:p>
      <w:pPr>
        <w:spacing w:before="0" w:after="100"/>
      </w:pPr>
      <w:r>
        <w:rPr>
          <w:b/>
          <w:i w:val="0"/>
          <w:sz w:val="21"/>
        </w:rPr>
        <w:t>Le contrôle mensuel est mécanique : on prend la liste des entrées du mois — CDI, CDD, alternants, stagiaires, intérimaires — et on la rapproche des émargements. Toute ligne sans émargement est régularisée dans la semaine. Ce rapprochement s’écrit et se date : c’est lui, et non la notice, qui prouve que l’action est tenue dans la durée.</w:t>
      </w:r>
    </w:p>
    <w:p>
      <w:pPr>
        <w:spacing w:before="0" w:after="100"/>
      </w:pPr>
      <w:r>
        <w:rPr>
          <w:b w:val="0"/>
          <w:i w:val="0"/>
          <w:sz w:val="21"/>
        </w:rPr>
        <w:t>Cas particuliers à ne pas oublier : les intérimaires — l’entreprise utilisatrice est tenue de l’obligation de sécurité à leur égard ; les salariés d’un prestataire installés à demeure ; les stagiaires et alternants, expressément visés par L.1153-2 ; les salariés repris à l’occasion d’un transfert d’entreprise, qui n’ont jamais reçu votre notice.</w:t>
      </w:r>
    </w:p>
    <w:p>
      <w:pPr>
        <w:spacing w:before="240" w:after="80"/>
      </w:pPr>
      <w:r>
        <w:rPr>
          <w:b/>
          <w:i w:val="0"/>
          <w:color w:val="1F3B57"/>
          <w:sz w:val="25"/>
        </w:rPr>
        <w:t>Les erreurs qui annulent l’action</w:t>
      </w:r>
    </w:p>
    <w:p>
      <w:pPr>
        <w:pStyle w:val="ListBullet"/>
        <w:spacing w:after="40"/>
      </w:pPr>
      <w:r>
        <w:rPr>
          <w:sz w:val="20"/>
        </w:rPr>
        <w:t>La notice glissée dans un dossier d’accueil de quarante pages, jamais commentée, jamais émargée.</w:t>
      </w:r>
    </w:p>
    <w:p>
      <w:pPr>
        <w:pStyle w:val="ListBullet"/>
        <w:spacing w:after="40"/>
      </w:pPr>
      <w:r>
        <w:rPr>
          <w:sz w:val="20"/>
        </w:rPr>
        <w:t>Un émargement non daté : il ne prouve pas que l’information a précédé les faits.</w:t>
      </w:r>
    </w:p>
    <w:p>
      <w:pPr>
        <w:pStyle w:val="ListBullet"/>
        <w:spacing w:after="40"/>
      </w:pPr>
      <w:r>
        <w:rPr>
          <w:sz w:val="20"/>
        </w:rPr>
        <w:t>Les intérimaires et les stagiaires exclus du dispositif.</w:t>
      </w:r>
    </w:p>
    <w:p>
      <w:pPr>
        <w:pStyle w:val="ListBullet"/>
        <w:spacing w:after="40"/>
      </w:pPr>
      <w:r>
        <w:rPr>
          <w:sz w:val="20"/>
        </w:rPr>
        <w:t>Une notice qui renvoie à des personnes parties depuis deux ans.</w:t>
      </w:r>
    </w:p>
    <w:p>
      <w:pPr>
        <w:pStyle w:val="ListBullet"/>
        <w:spacing w:after="40"/>
      </w:pPr>
      <w:r>
        <w:rPr>
          <w:sz w:val="20"/>
        </w:rPr>
        <w:t>Aucun rapprochement entre les entrées et les émargements : personne ne sait qui manque.</w:t>
      </w:r>
    </w:p>
    <w:p>
      <w:pPr>
        <w:spacing w:before="240" w:after="80"/>
      </w:pPr>
      <w:r>
        <w:rPr>
          <w:b/>
          <w:i w:val="0"/>
          <w:color w:val="1F3B57"/>
          <w:sz w:val="25"/>
        </w:rPr>
        <w:t>Ce que l’action produit — les pièces à conserver</w:t>
      </w:r>
    </w:p>
    <w:p>
      <w:pPr>
        <w:pStyle w:val="ListBullet"/>
        <w:spacing w:after="40"/>
      </w:pPr>
      <w:r>
        <w:rPr>
          <w:sz w:val="20"/>
        </w:rPr>
        <w:t>Notice d’information, une version conservée par millésime</w:t>
      </w:r>
    </w:p>
    <w:p>
      <w:pPr>
        <w:pStyle w:val="ListBullet"/>
        <w:spacing w:after="40"/>
      </w:pPr>
      <w:r>
        <w:rPr>
          <w:sz w:val="20"/>
        </w:rPr>
        <w:t>Émargement signé et daté, un par entrant, conservé au dossier individuel</w:t>
      </w:r>
    </w:p>
    <w:p>
      <w:pPr>
        <w:pStyle w:val="ListBullet"/>
        <w:spacing w:after="40"/>
      </w:pPr>
      <w:r>
        <w:rPr>
          <w:sz w:val="20"/>
        </w:rPr>
        <w:t>Tableau de contrôle mensuel : entrées du mois / émargements reçus / régularisations</w:t>
      </w:r>
    </w:p>
    <w:p>
      <w:pPr>
        <w:pStyle w:val="ListBullet"/>
        <w:spacing w:after="40"/>
      </w:pPr>
      <w:r>
        <w:rPr>
          <w:sz w:val="20"/>
        </w:rPr>
        <w:t>Preuve d’information des intérimaires et des prestataires présents sur site</w:t>
      </w:r>
    </w:p>
    <w:p>
      <w:pPr>
        <w:pStyle w:val="ListBullet"/>
        <w:spacing w:after="40"/>
      </w:pPr>
      <w:r>
        <w:rPr>
          <w:sz w:val="20"/>
        </w:rPr>
        <w:t>Trame des cinq minutes d’accueil, pour que le message soit le même partout</w:t>
      </w:r>
    </w:p>
    <w:p>
      <w:r>
        <w:br w:type="page"/>
      </w:r>
    </w:p>
    <w:p>
      <w:pPr>
        <w:spacing w:before="0" w:after="80"/>
      </w:pPr>
      <w:r>
        <w:rPr>
          <w:b/>
          <w:i w:val="0"/>
          <w:color w:val="1F3B57"/>
          <w:sz w:val="32"/>
        </w:rPr>
        <w:t>Action 11 — Tenir le registre des signalements</w:t>
      </w:r>
    </w:p>
    <w:p>
      <w:pPr>
        <w:spacing w:after="160"/>
        <w:pBdr>
          <w:bottom w:val="single" w:sz="8" w:color="C9A84C"/>
        </w:pBdr>
      </w:pPr>
    </w:p>
    <w:p>
      <w:pPr>
        <w:spacing w:before="0" w:after="60"/>
      </w:pPr>
      <w:r>
        <w:rPr>
          <w:b w:val="0"/>
          <w:i/>
          <w:color w:val="A0842E"/>
          <w:sz w:val="20"/>
        </w:rPr>
        <w:t>Articles L.4121-1 et R.4121-2 — RGPD pour les données personnelles</w:t>
      </w:r>
    </w:p>
    <w:p>
      <w:pPr>
        <w:spacing w:before="0" w:after="160"/>
      </w:pPr>
      <w:r>
        <w:rPr>
          <w:b/>
          <w:i w:val="0"/>
          <w:color w:val="1F3B57"/>
          <w:sz w:val="20"/>
        </w:rPr>
        <w:t>Met en œuvre : L.4121-2, 2° — évaluer les risques qui ne peuvent pas être évités ; et 7° — planifier la prévention dans un ensemble cohérent.</w:t>
      </w:r>
    </w:p>
    <w:p>
      <w:pPr>
        <w:spacing w:before="0" w:after="100"/>
      </w:pPr>
      <w:r>
        <w:rPr>
          <w:b/>
          <w:i w:val="0"/>
          <w:sz w:val="21"/>
        </w:rPr>
        <w:t>Le registre n’est imposé par aucun texte. Il est pourtant la pièce qui décide de l’issue : c’est lui qui établit ce que l’employeur savait, quand il l’a su, et ce qu’il en a fait. Sans lui, chaque dossier se reconstitue de mémoire, deux ans plus tard, devant le conseil de prud’hommes.</w:t>
      </w:r>
    </w:p>
    <w:p>
      <w:pPr>
        <w:spacing w:before="0" w:after="100"/>
      </w:pPr>
      <w:r>
        <w:rPr>
          <w:b w:val="0"/>
          <w:i w:val="0"/>
          <w:sz w:val="21"/>
        </w:rPr>
        <w:t>C’est aussi lui qui fait vivre l’action 1 : l’article R.4121-2 impose de mettre à jour le document unique lorsqu’une information supplémentaire intéressant l’évaluation d’un risque est portée à la connaissance de l’employeur. Le registre est l’endroit où ces informations sont collectées.</w:t>
      </w:r>
    </w:p>
    <w:p>
      <w:pPr>
        <w:spacing w:before="240" w:after="80"/>
      </w:pPr>
      <w:r>
        <w:rPr>
          <w:b/>
          <w:i w:val="0"/>
          <w:color w:val="1F3B57"/>
          <w:sz w:val="25"/>
        </w:rPr>
        <w:t>Ce qu’il porte, et ce qu’il ne porte pas</w:t>
      </w:r>
    </w:p>
    <w:p>
      <w:pPr>
        <w:pStyle w:val="ListBullet"/>
        <w:spacing w:after="40"/>
      </w:pPr>
      <w:r>
        <w:rPr>
          <w:sz w:val="20"/>
        </w:rPr>
        <w:t>Il porte : la date du signalement, par qui il a été reçu, sous quelle forme, les faits rapportés en une phrase et sans qualification, les mesures conservatoires et leur date, la décision d’enquêter ou non et son motif, la décision finale et sa date, l’information des parties, le suivi à trois mois.</w:t>
      </w:r>
    </w:p>
    <w:p>
      <w:pPr>
        <w:pStyle w:val="ListBullet"/>
        <w:spacing w:after="40"/>
      </w:pPr>
      <w:r>
        <w:rPr>
          <w:sz w:val="20"/>
        </w:rPr>
        <w:t>Il ne porte pas : aucune appréciation sur la personnalité, aucune donnée de santé, aucun diagnostic, aucun arrêt de travail, aucune orientation sexuelle, aucune conviction. C’est un journal de bord, pas un dossier médical.</w:t>
      </w:r>
    </w:p>
    <w:p>
      <w:pPr>
        <w:pStyle w:val="ListBullet"/>
        <w:spacing w:after="40"/>
      </w:pPr>
      <w:r>
        <w:rPr>
          <w:sz w:val="20"/>
        </w:rPr>
        <w:t>Il ne porte pas non plus de qualification juridique. « Propos rapportés en réunion » et non « harcèlement avéré ».</w:t>
      </w:r>
    </w:p>
    <w:p>
      <w:pPr>
        <w:spacing w:before="280" w:after="80"/>
      </w:pPr>
      <w:r>
        <w:rPr>
          <w:b/>
          <w:i w:val="0"/>
          <w:color w:val="1F3B57"/>
          <w:sz w:val="25"/>
        </w:rPr>
        <w:t>Une ligne de registre, remplie — exemple</w:t>
      </w:r>
    </w:p>
    <w:p>
      <w:pPr>
        <w:spacing w:before="0" w:after="120"/>
      </w:pPr>
      <w:r>
        <w:rPr>
          <w:b w:val="0"/>
          <w:i/>
          <w:color w:val="B23B3B"/>
          <w:sz w:val="19"/>
        </w:rPr>
        <w:t>Exemple pédagogique et fictif. Noter le dernier champ : c’est le seul chiffre que le juge regardera en premier. Un registre qui ne calcule pas ses délais ne sert qu’à moitié.</w:t>
      </w:r>
    </w:p>
    <w:tbl>
      <w:tblPr>
        <w:tblStyle w:val="TableGrid"/>
        <w:tblW w:type="auto" w:w="0"/>
        <w:tblLook w:firstColumn="1" w:firstRow="1" w:lastColumn="0" w:lastRow="0" w:noHBand="0" w:noVBand="1" w:val="04A0"/>
      </w:tblPr>
      <w:tblGrid>
        <w:gridCol w:w="2381"/>
        <w:gridCol w:w="6803"/>
      </w:tblGrid>
      <w:tr>
        <w:tc>
          <w:tcPr>
            <w:tcW w:type="dxa" w:w="4873"/>
          </w:tcPr>
          <w:p>
            <w:r>
              <w:rPr>
                <w:b/>
                <w:sz w:val="18"/>
              </w:rPr>
              <w:t>N° d’ordre</w:t>
            </w:r>
          </w:p>
        </w:tc>
        <w:tc>
          <w:tcPr>
            <w:tcW w:type="dxa" w:w="4873"/>
          </w:tcPr>
          <w:p>
            <w:r>
              <w:rPr>
                <w:b w:val="0"/>
                <w:sz w:val="18"/>
              </w:rPr>
              <w:t>2026-014</w:t>
            </w:r>
          </w:p>
        </w:tc>
      </w:tr>
      <w:tr>
        <w:tc>
          <w:tcPr>
            <w:tcW w:type="dxa" w:w="4873"/>
          </w:tcPr>
          <w:p>
            <w:r>
              <w:rPr>
                <w:b/>
                <w:sz w:val="18"/>
              </w:rPr>
              <w:t>Date du signalement</w:t>
            </w:r>
          </w:p>
        </w:tc>
        <w:tc>
          <w:tcPr>
            <w:tcW w:type="dxa" w:w="4873"/>
          </w:tcPr>
          <w:p>
            <w:r>
              <w:rPr>
                <w:b w:val="0"/>
                <w:sz w:val="18"/>
              </w:rPr>
              <w:t>12 mai — reçu à 9 h 40</w:t>
            </w:r>
          </w:p>
        </w:tc>
      </w:tr>
      <w:tr>
        <w:tc>
          <w:tcPr>
            <w:tcW w:type="dxa" w:w="4873"/>
          </w:tcPr>
          <w:p>
            <w:r>
              <w:rPr>
                <w:b/>
                <w:sz w:val="18"/>
              </w:rPr>
              <w:t>Reçu par</w:t>
            </w:r>
          </w:p>
        </w:tc>
        <w:tc>
          <w:tcPr>
            <w:tcW w:type="dxa" w:w="4873"/>
          </w:tcPr>
          <w:p>
            <w:r>
              <w:rPr>
                <w:b w:val="0"/>
                <w:sz w:val="18"/>
              </w:rPr>
              <w:t>Référent de l’employeur — entretien physique, à la demande du salarié</w:t>
            </w:r>
          </w:p>
        </w:tc>
      </w:tr>
      <w:tr>
        <w:tc>
          <w:tcPr>
            <w:tcW w:type="dxa" w:w="4873"/>
          </w:tcPr>
          <w:p>
            <w:r>
              <w:rPr>
                <w:b/>
                <w:sz w:val="18"/>
              </w:rPr>
              <w:t>Forme</w:t>
            </w:r>
          </w:p>
        </w:tc>
        <w:tc>
          <w:tcPr>
            <w:tcW w:type="dxa" w:w="4873"/>
          </w:tcPr>
          <w:p>
            <w:r>
              <w:rPr>
                <w:b w:val="0"/>
                <w:sz w:val="18"/>
              </w:rPr>
              <w:t>Oral, suivi d’un compte rendu écrit relu et signé le jour même</w:t>
            </w:r>
          </w:p>
        </w:tc>
      </w:tr>
      <w:tr>
        <w:tc>
          <w:tcPr>
            <w:tcW w:type="dxa" w:w="4873"/>
          </w:tcPr>
          <w:p>
            <w:r>
              <w:rPr>
                <w:b/>
                <w:sz w:val="18"/>
              </w:rPr>
              <w:t>Périmètre</w:t>
            </w:r>
          </w:p>
        </w:tc>
        <w:tc>
          <w:tcPr>
            <w:tcW w:type="dxa" w:w="4873"/>
          </w:tcPr>
          <w:p>
            <w:r>
              <w:rPr>
                <w:b w:val="0"/>
                <w:sz w:val="18"/>
              </w:rPr>
              <w:t>Site de Lyon — plateau recouvrement — unité de travail n° 4</w:t>
            </w:r>
          </w:p>
        </w:tc>
      </w:tr>
      <w:tr>
        <w:tc>
          <w:tcPr>
            <w:tcW w:type="dxa" w:w="4873"/>
          </w:tcPr>
          <w:p>
            <w:r>
              <w:rPr>
                <w:b/>
                <w:sz w:val="18"/>
              </w:rPr>
              <w:t>Faits rapportés</w:t>
              <w:br/>
            </w:r>
            <w:r>
              <w:rPr>
                <w:b/>
                <w:sz w:val="18"/>
              </w:rPr>
              <w:t>(sans qualification)</w:t>
            </w:r>
          </w:p>
        </w:tc>
        <w:tc>
          <w:tcPr>
            <w:tcW w:type="dxa" w:w="4873"/>
          </w:tcPr>
          <w:p>
            <w:r>
              <w:rPr>
                <w:b w:val="0"/>
                <w:sz w:val="18"/>
              </w:rPr>
              <w:t>Le salarié rapporte des remarques répétées sur son rythme de travail, formulées devant l’équipe, depuis février ; et le retrait de deux dossiers en avril sans explication.</w:t>
            </w:r>
          </w:p>
        </w:tc>
      </w:tr>
      <w:tr>
        <w:tc>
          <w:tcPr>
            <w:tcW w:type="dxa" w:w="4873"/>
          </w:tcPr>
          <w:p>
            <w:r>
              <w:rPr>
                <w:b/>
                <w:sz w:val="18"/>
              </w:rPr>
              <w:t>Personnes concernées</w:t>
            </w:r>
          </w:p>
        </w:tc>
        <w:tc>
          <w:tcPr>
            <w:tcW w:type="dxa" w:w="4873"/>
          </w:tcPr>
          <w:p>
            <w:r>
              <w:rPr>
                <w:b w:val="0"/>
                <w:sz w:val="18"/>
              </w:rPr>
              <w:t>Références internes anonymisées : S-2026-014 (auteur du signalement), M-2026-014 (personne mise en cause). Les identités figurent au dossier à accès restreint, pas au registre.</w:t>
            </w:r>
          </w:p>
        </w:tc>
      </w:tr>
      <w:tr>
        <w:tc>
          <w:tcPr>
            <w:tcW w:type="dxa" w:w="4873"/>
          </w:tcPr>
          <w:p>
            <w:r>
              <w:rPr>
                <w:b/>
                <w:sz w:val="18"/>
              </w:rPr>
              <w:t>Accusé de réception</w:t>
            </w:r>
          </w:p>
        </w:tc>
        <w:tc>
          <w:tcPr>
            <w:tcW w:type="dxa" w:w="4873"/>
          </w:tcPr>
          <w:p>
            <w:r>
              <w:rPr>
                <w:b w:val="0"/>
                <w:sz w:val="18"/>
              </w:rPr>
              <w:t>Adressé le 12 mai — dans la journée</w:t>
            </w:r>
          </w:p>
        </w:tc>
      </w:tr>
      <w:tr>
        <w:tc>
          <w:tcPr>
            <w:tcW w:type="dxa" w:w="4873"/>
          </w:tcPr>
          <w:p>
            <w:r>
              <w:rPr>
                <w:b/>
                <w:sz w:val="18"/>
              </w:rPr>
              <w:t>Urgence évaluée</w:t>
            </w:r>
          </w:p>
        </w:tc>
        <w:tc>
          <w:tcPr>
            <w:tcW w:type="dxa" w:w="4873"/>
          </w:tcPr>
          <w:p>
            <w:r>
              <w:rPr>
                <w:b w:val="0"/>
                <w:sz w:val="18"/>
              </w:rPr>
              <w:t>Non — pas d’arrêt de travail, pas de propos alarmants. Coordonnées du service de santé au travail remises.</w:t>
            </w:r>
          </w:p>
        </w:tc>
      </w:tr>
      <w:tr>
        <w:tc>
          <w:tcPr>
            <w:tcW w:type="dxa" w:w="4873"/>
          </w:tcPr>
          <w:p>
            <w:r>
              <w:rPr>
                <w:b/>
                <w:sz w:val="18"/>
              </w:rPr>
              <w:t>Mesures conservatoires</w:t>
            </w:r>
          </w:p>
        </w:tc>
        <w:tc>
          <w:tcPr>
            <w:tcW w:type="dxa" w:w="4873"/>
          </w:tcPr>
          <w:p>
            <w:r>
              <w:rPr>
                <w:b w:val="0"/>
                <w:sz w:val="18"/>
              </w:rPr>
              <w:t>15 mai — suspension du lien hiérarchique direct, à la demande du salarié et avec son accord écrit. La personne mise en cause n’est pas déplacée à ce stade.</w:t>
            </w:r>
          </w:p>
        </w:tc>
      </w:tr>
      <w:tr>
        <w:tc>
          <w:tcPr>
            <w:tcW w:type="dxa" w:w="4873"/>
          </w:tcPr>
          <w:p>
            <w:r>
              <w:rPr>
                <w:b/>
                <w:sz w:val="18"/>
              </w:rPr>
              <w:t>Enquête</w:t>
            </w:r>
          </w:p>
        </w:tc>
        <w:tc>
          <w:tcPr>
            <w:tcW w:type="dxa" w:w="4873"/>
          </w:tcPr>
          <w:p>
            <w:r>
              <w:rPr>
                <w:b w:val="0"/>
                <w:sz w:val="18"/>
              </w:rPr>
              <w:t>Oui — décidée le 19 mai. Commission : [3 personnes]. Lettre de mission du 19 mai. Délai imparti : 30 jours.</w:t>
            </w:r>
          </w:p>
        </w:tc>
      </w:tr>
      <w:tr>
        <w:tc>
          <w:tcPr>
            <w:tcW w:type="dxa" w:w="4873"/>
          </w:tcPr>
          <w:p>
            <w:r>
              <w:rPr>
                <w:b/>
                <w:sz w:val="18"/>
              </w:rPr>
              <w:t>Décision</w:t>
            </w:r>
          </w:p>
        </w:tc>
        <w:tc>
          <w:tcPr>
            <w:tcW w:type="dxa" w:w="4873"/>
          </w:tcPr>
          <w:p>
            <w:r>
              <w:rPr>
                <w:b w:val="0"/>
                <w:sz w:val="18"/>
              </w:rPr>
              <w:t>24 juin — faits partiellement établis. Sanction : blâme. Deux mesures d’organisation décidées sur l’unité de travail.</w:t>
            </w:r>
          </w:p>
        </w:tc>
      </w:tr>
      <w:tr>
        <w:tc>
          <w:tcPr>
            <w:tcW w:type="dxa" w:w="4873"/>
          </w:tcPr>
          <w:p>
            <w:r>
              <w:rPr>
                <w:b/>
                <w:sz w:val="18"/>
              </w:rPr>
              <w:t>Information des parties</w:t>
            </w:r>
          </w:p>
        </w:tc>
        <w:tc>
          <w:tcPr>
            <w:tcW w:type="dxa" w:w="4873"/>
          </w:tcPr>
          <w:p>
            <w:r>
              <w:rPr>
                <w:b w:val="0"/>
                <w:sz w:val="18"/>
              </w:rPr>
              <w:t>25 juin — courrier remis en main propre aux deux personnes, contre décharge.</w:t>
            </w:r>
          </w:p>
        </w:tc>
      </w:tr>
      <w:tr>
        <w:tc>
          <w:tcPr>
            <w:tcW w:type="dxa" w:w="4873"/>
          </w:tcPr>
          <w:p>
            <w:r>
              <w:rPr>
                <w:b/>
                <w:sz w:val="18"/>
              </w:rPr>
              <w:t>Remontée au document unique</w:t>
            </w:r>
          </w:p>
        </w:tc>
        <w:tc>
          <w:tcPr>
            <w:tcW w:type="dxa" w:w="4873"/>
          </w:tcPr>
          <w:p>
            <w:r>
              <w:rPr>
                <w:b w:val="0"/>
                <w:sz w:val="18"/>
              </w:rPr>
              <w:t>30 juin — unité de travail n° 4 mise à jour, gravité relevée, deux mesures ajoutées au plan d’actions.</w:t>
            </w:r>
          </w:p>
        </w:tc>
      </w:tr>
      <w:tr>
        <w:tc>
          <w:tcPr>
            <w:tcW w:type="dxa" w:w="4873"/>
          </w:tcPr>
          <w:p>
            <w:r>
              <w:rPr>
                <w:b/>
                <w:sz w:val="18"/>
              </w:rPr>
              <w:t>Suivi à trois mois</w:t>
            </w:r>
          </w:p>
        </w:tc>
        <w:tc>
          <w:tcPr>
            <w:tcW w:type="dxa" w:w="4873"/>
          </w:tcPr>
          <w:p>
            <w:r>
              <w:rPr>
                <w:b w:val="0"/>
                <w:sz w:val="18"/>
              </w:rPr>
              <w:t>24 septembre — entretien tenu, rien n’a repris, aucune mesure défavorable constatée. Compte rendu signé.</w:t>
            </w:r>
          </w:p>
        </w:tc>
      </w:tr>
      <w:tr>
        <w:tc>
          <w:tcPr>
            <w:tcW w:type="dxa" w:w="4873"/>
          </w:tcPr>
          <w:p>
            <w:r>
              <w:rPr>
                <w:b/>
                <w:sz w:val="18"/>
              </w:rPr>
              <w:t>Délai de réaction</w:t>
            </w:r>
          </w:p>
        </w:tc>
        <w:tc>
          <w:tcPr>
            <w:tcW w:type="dxa" w:w="4873"/>
          </w:tcPr>
          <w:p>
            <w:r>
              <w:rPr>
                <w:b w:val="0"/>
                <w:sz w:val="18"/>
              </w:rPr>
              <w:t>0 jour jusqu’à l’accusé de réception. 3 jours jusqu’à la première mesure. 43 jours jusqu’à la décision.</w:t>
            </w:r>
          </w:p>
        </w:tc>
      </w:tr>
    </w:tbl>
    <w:p>
      <w:pPr>
        <w:spacing w:before="240" w:after="80"/>
      </w:pPr>
      <w:r>
        <w:rPr>
          <w:b/>
          <w:i w:val="0"/>
          <w:color w:val="1F3B57"/>
          <w:sz w:val="25"/>
        </w:rPr>
        <w:t>Le régime des données</w:t>
      </w:r>
    </w:p>
    <w:p>
      <w:pPr>
        <w:pStyle w:val="ListBullet"/>
        <w:spacing w:after="40"/>
      </w:pPr>
      <w:r>
        <w:rPr>
          <w:sz w:val="20"/>
        </w:rPr>
        <w:t>Base légale : l’obligation légale de l’employeur en matière de santé et de sécurité.</w:t>
      </w:r>
    </w:p>
    <w:p>
      <w:pPr>
        <w:pStyle w:val="ListBullet"/>
        <w:spacing w:after="40"/>
      </w:pPr>
      <w:r>
        <w:rPr>
          <w:sz w:val="20"/>
        </w:rPr>
        <w:t>Accès nominatif restreint, écrit, et tracé : qui peut lire, qui a lu, quand.</w:t>
      </w:r>
    </w:p>
    <w:p>
      <w:pPr>
        <w:pStyle w:val="ListBullet"/>
        <w:spacing w:after="40"/>
      </w:pPr>
      <w:r>
        <w:rPr>
          <w:sz w:val="20"/>
        </w:rPr>
        <w:t>Le registre lui-même est pseudonymisé ; les identités sont dans un dossier séparé à accès plus restreint encore.</w:t>
      </w:r>
    </w:p>
    <w:p>
      <w:pPr>
        <w:pStyle w:val="ListBullet"/>
        <w:spacing w:after="40"/>
      </w:pPr>
      <w:r>
        <w:rPr>
          <w:sz w:val="20"/>
        </w:rPr>
        <w:t>Durée de conservation définie et écrite, distincte pour le registre et pour les pièces d’enquête.</w:t>
      </w:r>
    </w:p>
    <w:p>
      <w:pPr>
        <w:pStyle w:val="ListBullet"/>
        <w:spacing w:after="40"/>
      </w:pPr>
      <w:r>
        <w:rPr>
          <w:sz w:val="20"/>
        </w:rPr>
        <w:t>Information des personnes concernées sur l’existence du traitement et leurs droits.</w:t>
      </w:r>
    </w:p>
    <w:p>
      <w:pPr>
        <w:pStyle w:val="ListBullet"/>
        <w:spacing w:after="40"/>
      </w:pPr>
      <w:r>
        <w:rPr>
          <w:sz w:val="20"/>
        </w:rPr>
        <w:t>Inscription au registre des activités de traitement de l’entreprise.</w:t>
      </w:r>
    </w:p>
    <w:p>
      <w:pPr>
        <w:spacing w:before="240" w:after="80"/>
      </w:pPr>
      <w:r>
        <w:rPr>
          <w:b/>
          <w:i w:val="0"/>
          <w:color w:val="1F3B57"/>
          <w:sz w:val="25"/>
        </w:rPr>
        <w:t>Le bilan annuel</w:t>
      </w:r>
    </w:p>
    <w:p>
      <w:pPr>
        <w:spacing w:before="0" w:after="100"/>
      </w:pPr>
      <w:r>
        <w:rPr>
          <w:b/>
          <w:i w:val="0"/>
          <w:sz w:val="21"/>
        </w:rPr>
        <w:t>Une fois par an : combien de signalements, sur quels sites et quelles unités de travail, quels délais moyens de réaction, quelles suites, combien de mises à jour du document unique en sont résultées. Présenté au comité sans nommer personne. Un bilan qui indique zéro signalement sur deux mille salariés n’est pas une bonne nouvelle : c’est un indicateur de dispositif inconnu ou de parole bloquée, et il doit être traité comme tel.</w:t>
      </w:r>
    </w:p>
    <w:p>
      <w:pPr>
        <w:spacing w:before="240" w:after="80"/>
      </w:pPr>
      <w:r>
        <w:rPr>
          <w:b/>
          <w:i w:val="0"/>
          <w:color w:val="1F3B57"/>
          <w:sz w:val="25"/>
        </w:rPr>
        <w:t>Ce que l’action produit — les pièces à conserver</w:t>
      </w:r>
    </w:p>
    <w:p>
      <w:pPr>
        <w:pStyle w:val="ListBullet"/>
        <w:spacing w:after="40"/>
      </w:pPr>
      <w:r>
        <w:rPr>
          <w:sz w:val="20"/>
        </w:rPr>
        <w:t>Registre tenu, avec le champ « délai de réaction » calculé</w:t>
      </w:r>
    </w:p>
    <w:p>
      <w:pPr>
        <w:pStyle w:val="ListBullet"/>
        <w:spacing w:after="40"/>
      </w:pPr>
      <w:r>
        <w:rPr>
          <w:sz w:val="20"/>
        </w:rPr>
        <w:t>Bilan annuel écrit, et procès-verbal de sa présentation au comité</w:t>
      </w:r>
    </w:p>
    <w:p>
      <w:pPr>
        <w:pStyle w:val="ListBullet"/>
        <w:spacing w:after="40"/>
      </w:pPr>
      <w:r>
        <w:rPr>
          <w:sz w:val="20"/>
        </w:rPr>
        <w:t>Politique d’accès et de conservation, datée</w:t>
      </w:r>
    </w:p>
    <w:p>
      <w:pPr>
        <w:pStyle w:val="ListBullet"/>
        <w:spacing w:after="40"/>
      </w:pPr>
      <w:r>
        <w:rPr>
          <w:sz w:val="20"/>
        </w:rPr>
        <w:t>Traçabilité des consultations</w:t>
      </w:r>
    </w:p>
    <w:p>
      <w:pPr>
        <w:pStyle w:val="ListBullet"/>
        <w:spacing w:after="40"/>
      </w:pPr>
      <w:r>
        <w:rPr>
          <w:sz w:val="20"/>
        </w:rPr>
        <w:t>Pour chaque ligne, le lien vers la mise à jour du document unique qu’elle a déclenchée</w:t>
      </w:r>
    </w:p>
    <w:p>
      <w:r>
        <w:br w:type="page"/>
      </w:r>
    </w:p>
    <w:p>
      <w:pPr>
        <w:spacing w:before="0" w:after="80"/>
      </w:pPr>
      <w:r>
        <w:rPr>
          <w:b/>
          <w:i w:val="0"/>
          <w:color w:val="1F3B57"/>
          <w:sz w:val="32"/>
        </w:rPr>
        <w:t>Action 12 — Réagir : le protocole, dans l’ordre</w:t>
      </w:r>
    </w:p>
    <w:p>
      <w:pPr>
        <w:spacing w:after="160"/>
        <w:pBdr>
          <w:bottom w:val="single" w:sz="8" w:color="C9A84C"/>
        </w:pBdr>
      </w:pPr>
    </w:p>
    <w:p>
      <w:pPr>
        <w:spacing w:before="0" w:after="60"/>
      </w:pPr>
      <w:r>
        <w:rPr>
          <w:b w:val="0"/>
          <w:i/>
          <w:color w:val="A0842E"/>
          <w:sz w:val="20"/>
        </w:rPr>
        <w:t>Articles L.1152-2 à L.1152-4 et L.1153-2 à L.1153-5</w:t>
      </w:r>
    </w:p>
    <w:p>
      <w:pPr>
        <w:spacing w:before="0" w:after="160"/>
      </w:pPr>
      <w:r>
        <w:rPr>
          <w:b/>
          <w:i w:val="0"/>
          <w:color w:val="1F3B57"/>
          <w:sz w:val="20"/>
        </w:rPr>
        <w:t>Met en œuvre : L.4121-2, 3° — combattre les risques à la source ; et 6° — remplacer ce qui est dangereux par ce qui l’est moins.</w:t>
      </w:r>
    </w:p>
    <w:p>
      <w:pPr>
        <w:spacing w:before="0" w:after="100"/>
      </w:pPr>
      <w:r>
        <w:rPr>
          <w:b/>
          <w:i w:val="0"/>
          <w:sz w:val="21"/>
        </w:rPr>
        <w:t>C’est la seule des douze qui ne se prépare pas : elle s’exécute, sous contrainte de temps, dans le désordre, souvent un vendredi. Les onze autres existent pour qu’elle soit tenable. Et c’est la seconde branche de l’exonération : la jurisprudence exige des actions en amont ET une réaction immédiate en aval. L’une sans l’autre ne suffit pas.</w:t>
      </w:r>
    </w:p>
    <w:p>
      <w:pPr>
        <w:spacing w:before="0" w:after="100"/>
      </w:pPr>
      <w:r>
        <w:rPr>
          <w:b w:val="0"/>
          <w:i w:val="0"/>
          <w:sz w:val="21"/>
        </w:rPr>
        <w:t>Le principe 6° donne la règle de conduite la plus utile du dossier : on remplace ce qui est dangereux par ce qui l’est moins. Séparer les personnes est moins dangereux que les laisser ensemble ; déplacer la victime est plus dangereux que de ne rien faire, parce que cela ajoute un fait au dossier de l’employeur.</w:t>
      </w:r>
    </w:p>
    <w:p>
      <w:pPr>
        <w:spacing w:before="280" w:after="80"/>
      </w:pPr>
      <w:r>
        <w:rPr>
          <w:b/>
          <w:i w:val="0"/>
          <w:color w:val="1F3B57"/>
          <w:sz w:val="25"/>
        </w:rPr>
        <w:t>Le protocole, jour par jour — et la pièce produite à chaque étape</w:t>
      </w:r>
    </w:p>
    <w:p>
      <w:pPr>
        <w:spacing w:before="0" w:after="120"/>
      </w:pPr>
      <w:r>
        <w:rPr>
          <w:b w:val="0"/>
          <w:i/>
          <w:color w:val="B23B3B"/>
          <w:sz w:val="19"/>
        </w:rPr>
        <w:t>Exemple pédagogique. Les délais indiqués sont ceux que nous recommandons d’inscrire dans la procédure de l’action 6. Aucun n’est fixé par le code : ce que le code et la jurisprudence exigent, c’est une réaction immédiate et adaptée. Un délai que vous vous êtes fixé et que vous ne tenez pas se retourne contre vous.</w:t>
      </w:r>
    </w:p>
    <w:tbl>
      <w:tblPr>
        <w:tblStyle w:val="TableGrid"/>
        <w:tblW w:type="auto" w:w="0"/>
        <w:tblLook w:firstColumn="1" w:firstRow="1" w:lastColumn="0" w:lastRow="0" w:noHBand="0" w:noVBand="1" w:val="04A0"/>
      </w:tblPr>
      <w:tblGrid>
        <w:gridCol w:w="2381"/>
        <w:gridCol w:w="6803"/>
      </w:tblGrid>
      <w:tr>
        <w:tc>
          <w:tcPr>
            <w:tcW w:type="dxa" w:w="4873"/>
          </w:tcPr>
          <w:p>
            <w:r>
              <w:rPr>
                <w:b/>
                <w:sz w:val="18"/>
              </w:rPr>
              <w:t>Jour J — heure H</w:t>
            </w:r>
          </w:p>
        </w:tc>
        <w:tc>
          <w:tcPr>
            <w:tcW w:type="dxa" w:w="4873"/>
          </w:tcPr>
          <w:p>
            <w:r>
              <w:rPr>
                <w:b w:val="0"/>
                <w:sz w:val="18"/>
              </w:rPr>
              <w:t>Réception du signalement, quelle qu’en soit la forme. Le salarié n’a pas à employer le mot « harcèlement ». → Inscription au registre (action 11), le jour même.</w:t>
            </w:r>
          </w:p>
        </w:tc>
      </w:tr>
      <w:tr>
        <w:tc>
          <w:tcPr>
            <w:tcW w:type="dxa" w:w="4873"/>
          </w:tcPr>
          <w:p>
            <w:r>
              <w:rPr>
                <w:b/>
                <w:sz w:val="18"/>
              </w:rPr>
              <w:t>J — dans la journée</w:t>
            </w:r>
          </w:p>
        </w:tc>
        <w:tc>
          <w:tcPr>
            <w:tcW w:type="dxa" w:w="4873"/>
          </w:tcPr>
          <w:p>
            <w:r>
              <w:rPr>
                <w:b w:val="0"/>
                <w:sz w:val="18"/>
              </w:rPr>
              <w:t>Évaluation de l’urgence : idées suicidaires, arrêt imminent, isolement total, propos alarmants. Si oui : saisine du service de prévention et de santé au travail le jour même, et information de la direction sans attendre. → Copie de la saisine.</w:t>
            </w:r>
          </w:p>
        </w:tc>
      </w:tr>
      <w:tr>
        <w:tc>
          <w:tcPr>
            <w:tcW w:type="dxa" w:w="4873"/>
          </w:tcPr>
          <w:p>
            <w:r>
              <w:rPr>
                <w:b/>
                <w:sz w:val="18"/>
              </w:rPr>
              <w:t>J + 2 au plus tard</w:t>
            </w:r>
          </w:p>
        </w:tc>
        <w:tc>
          <w:tcPr>
            <w:tcW w:type="dxa" w:w="4873"/>
          </w:tcPr>
          <w:p>
            <w:r>
              <w:rPr>
                <w:b w:val="0"/>
                <w:sz w:val="18"/>
              </w:rPr>
              <w:t>Accusé de réception écrit : ce qui a été compris, ce qui va se passer, sous quel délai, qui sera informé. → Accusé de réception, remis contre décharge ou envoyé avec preuve.</w:t>
            </w:r>
          </w:p>
        </w:tc>
      </w:tr>
      <w:tr>
        <w:tc>
          <w:tcPr>
            <w:tcW w:type="dxa" w:w="4873"/>
          </w:tcPr>
          <w:p>
            <w:r>
              <w:rPr>
                <w:b/>
                <w:sz w:val="18"/>
              </w:rPr>
              <w:t>J + 2 à J + 8</w:t>
            </w:r>
          </w:p>
        </w:tc>
        <w:tc>
          <w:tcPr>
            <w:tcW w:type="dxa" w:w="4873"/>
          </w:tcPr>
          <w:p>
            <w:r>
              <w:rPr>
                <w:b w:val="0"/>
                <w:sz w:val="18"/>
              </w:rPr>
              <w:t>Entretien de recueil. Faits écrits, datés, localisés, sans qualification. Compte rendu relu et signé par la personne. Elle peut être accompagnée. → Compte rendu signé.</w:t>
            </w:r>
          </w:p>
        </w:tc>
      </w:tr>
      <w:tr>
        <w:tc>
          <w:tcPr>
            <w:tcW w:type="dxa" w:w="4873"/>
          </w:tcPr>
          <w:p>
            <w:r>
              <w:rPr>
                <w:b/>
                <w:sz w:val="18"/>
              </w:rPr>
              <w:t>J + 8 au plus tard</w:t>
            </w:r>
          </w:p>
        </w:tc>
        <w:tc>
          <w:tcPr>
            <w:tcW w:type="dxa" w:w="4873"/>
          </w:tcPr>
          <w:p>
            <w:r>
              <w:rPr>
                <w:b w:val="0"/>
                <w:sz w:val="18"/>
              </w:rPr>
              <w:t>Mesures conservatoires. Séparer sans sanctionner. Ne jamais déplacer la victime contre son gré — son accord, s’il existe, est écrit. Mise à pied conservatoire de la personne mise en cause si les faits sont graves : mesure d’attente, pas sanction. → Décision écrite et motivée des mesures conservatoires.</w:t>
            </w:r>
          </w:p>
        </w:tc>
      </w:tr>
      <w:tr>
        <w:tc>
          <w:tcPr>
            <w:tcW w:type="dxa" w:w="4873"/>
          </w:tcPr>
          <w:p>
            <w:r>
              <w:rPr>
                <w:b/>
                <w:sz w:val="18"/>
              </w:rPr>
              <w:t>J + 8</w:t>
            </w:r>
          </w:p>
        </w:tc>
        <w:tc>
          <w:tcPr>
            <w:tcW w:type="dxa" w:w="4873"/>
          </w:tcPr>
          <w:p>
            <w:r>
              <w:rPr>
                <w:b w:val="0"/>
                <w:sz w:val="18"/>
              </w:rPr>
              <w:t>Décider de la suite : enquête, ou mesures suffisantes sans enquête. L’enquête n’est pas obligatoire en soi (Cass. soc., 12 juin 2024, n° 23-13.975) — mais la décision de ne pas enquêter s’écrit et se motive. → Note de décision, versée au registre.</w:t>
            </w:r>
          </w:p>
        </w:tc>
      </w:tr>
      <w:tr>
        <w:tc>
          <w:tcPr>
            <w:tcW w:type="dxa" w:w="4873"/>
          </w:tcPr>
          <w:p>
            <w:r>
              <w:rPr>
                <w:b/>
                <w:sz w:val="18"/>
              </w:rPr>
              <w:t>J + 8 à J + 45</w:t>
            </w:r>
          </w:p>
        </w:tc>
        <w:tc>
          <w:tcPr>
            <w:tcW w:type="dxa" w:w="4873"/>
          </w:tcPr>
          <w:p>
            <w:r>
              <w:rPr>
                <w:b w:val="0"/>
                <w:sz w:val="18"/>
              </w:rPr>
              <w:t>L’enquête, si elle est menée. Lettre de mission, commission, auditions, rapport en trois catégories : faits établis, non établis, contestés. Délai annoncé et tenu. → Rapport d’enquête et ses annexes (plan détaillé à l’action 8).</w:t>
            </w:r>
          </w:p>
        </w:tc>
      </w:tr>
      <w:tr>
        <w:tc>
          <w:tcPr>
            <w:tcW w:type="dxa" w:w="4873"/>
          </w:tcPr>
          <w:p>
            <w:r>
              <w:rPr>
                <w:b/>
                <w:sz w:val="18"/>
              </w:rPr>
              <w:t>À l’issue</w:t>
            </w:r>
          </w:p>
        </w:tc>
        <w:tc>
          <w:tcPr>
            <w:tcW w:type="dxa" w:w="4873"/>
          </w:tcPr>
          <w:p>
            <w:r>
              <w:rPr>
                <w:b w:val="0"/>
                <w:sz w:val="18"/>
              </w:rPr>
              <w:t>Décision motivée, écrite, notifiée aux deux parties. Si les faits sont établis : sanction proportionnée, jusqu’au licenciement pour faute grave ; salarié protégé : autorisation préalable de l’inspection du travail. Si les faits ne sont pas établis : le dire sans mettre en cause la bonne foi. → Décisions notifiées, contre décharge.</w:t>
            </w:r>
          </w:p>
        </w:tc>
      </w:tr>
      <w:tr>
        <w:tc>
          <w:tcPr>
            <w:tcW w:type="dxa" w:w="4873"/>
          </w:tcPr>
          <w:p>
            <w:r>
              <w:rPr>
                <w:b/>
                <w:sz w:val="18"/>
              </w:rPr>
              <w:t>À l’issue</w:t>
            </w:r>
          </w:p>
        </w:tc>
        <w:tc>
          <w:tcPr>
            <w:tcW w:type="dxa" w:w="4873"/>
          </w:tcPr>
          <w:p>
            <w:r>
              <w:rPr>
                <w:b w:val="0"/>
                <w:sz w:val="18"/>
              </w:rPr>
              <w:t>Mesures d’organisation, distinctes des mesures sur les personnes : c’est le principe 3°, combattre à la source. Et remontée au document unique. → Mise à jour du document unique (action 1) et procès-verbal du comité.</w:t>
            </w:r>
          </w:p>
        </w:tc>
      </w:tr>
      <w:tr>
        <w:tc>
          <w:tcPr>
            <w:tcW w:type="dxa" w:w="4873"/>
          </w:tcPr>
          <w:p>
            <w:r>
              <w:rPr>
                <w:b/>
                <w:sz w:val="18"/>
              </w:rPr>
              <w:t>J + 90</w:t>
            </w:r>
          </w:p>
        </w:tc>
        <w:tc>
          <w:tcPr>
            <w:tcW w:type="dxa" w:w="4873"/>
          </w:tcPr>
          <w:p>
            <w:r>
              <w:rPr>
                <w:b w:val="0"/>
                <w:sz w:val="18"/>
              </w:rPr>
              <w:t>Suivi écrit. Vérifier que rien n’a repris, et qu’aucune mesure défavorable n’a suivi la dénonciation : pas de mutation, pas d’objectifs relevés, pas d’évaluation dégradée, pas de non-renouvellement inexpliqué. → Compte rendu de suivi signé.</w:t>
            </w:r>
          </w:p>
        </w:tc>
      </w:tr>
      <w:tr>
        <w:tc>
          <w:tcPr>
            <w:tcW w:type="dxa" w:w="4873"/>
          </w:tcPr>
          <w:p>
            <w:r>
              <w:rPr>
                <w:b/>
                <w:sz w:val="18"/>
              </w:rPr>
              <w:t>Ensuite, durablement</w:t>
            </w:r>
          </w:p>
        </w:tc>
        <w:tc>
          <w:tcPr>
            <w:tcW w:type="dxa" w:w="4873"/>
          </w:tcPr>
          <w:p>
            <w:r>
              <w:rPr>
                <w:b w:val="0"/>
                <w:sz w:val="18"/>
              </w:rPr>
              <w:t>Toute décision défavorable concernant une personne ayant signalé ou témoigné se motive par écrit, à part, sur des éléments objectifs antérieurs ou étrangers au signalement. C’est là que se joue la nullité d’un licenciement ultérieur. → Note de motivation, datée, au dossier.</w:t>
            </w:r>
          </w:p>
        </w:tc>
      </w:tr>
    </w:tbl>
    <w:p>
      <w:pPr>
        <w:spacing w:before="240" w:after="80"/>
      </w:pPr>
      <w:r>
        <w:rPr>
          <w:b/>
          <w:i w:val="0"/>
          <w:color w:val="1F3B57"/>
          <w:sz w:val="25"/>
        </w:rPr>
        <w:t>Ce qui fait perdre, à ce stade</w:t>
      </w:r>
    </w:p>
    <w:p>
      <w:pPr>
        <w:pStyle w:val="ListBullet"/>
        <w:spacing w:after="40"/>
      </w:pPr>
      <w:r>
        <w:rPr>
          <w:sz w:val="20"/>
        </w:rPr>
        <w:t>Attendre « de voir si ça se tasse ». Chaque jour est daté au registre — le vôtre comme le sien.</w:t>
      </w:r>
    </w:p>
    <w:p>
      <w:pPr>
        <w:pStyle w:val="ListBullet"/>
        <w:spacing w:after="40"/>
      </w:pPr>
      <w:r>
        <w:rPr>
          <w:sz w:val="20"/>
        </w:rPr>
        <w:t>Déplacer la personne qui a signalé. C’est le réflexe le plus fréquent et le plus coûteux.</w:t>
      </w:r>
    </w:p>
    <w:p>
      <w:pPr>
        <w:pStyle w:val="ListBullet"/>
        <w:spacing w:after="40"/>
      </w:pPr>
      <w:r>
        <w:rPr>
          <w:sz w:val="20"/>
        </w:rPr>
        <w:t>Informer la personne mise en cause avant les premières auditions.</w:t>
      </w:r>
    </w:p>
    <w:p>
      <w:pPr>
        <w:pStyle w:val="ListBullet"/>
        <w:spacing w:after="40"/>
      </w:pPr>
      <w:r>
        <w:rPr>
          <w:sz w:val="20"/>
        </w:rPr>
        <w:t>Classer sans écrire. Un classement sans trace équivaut à l’inaction.</w:t>
      </w:r>
    </w:p>
    <w:p>
      <w:pPr>
        <w:pStyle w:val="ListBullet"/>
        <w:spacing w:after="40"/>
      </w:pPr>
      <w:r>
        <w:rPr>
          <w:sz w:val="20"/>
        </w:rPr>
        <w:t>Ne rien faire parce que le mot « harcèlement » n’a pas été prononcé.</w:t>
      </w:r>
    </w:p>
    <w:p>
      <w:pPr>
        <w:pStyle w:val="ListBullet"/>
        <w:spacing w:after="40"/>
      </w:pPr>
      <w:r>
        <w:rPr>
          <w:sz w:val="20"/>
        </w:rPr>
        <w:t>Sanctionner ou licencier la personne qui a dénoncé : la rupture est nulle si elle est fondée sur la dénonciation, l’indemnité ne peut être inférieure à six mois de salaire et le barème de L.1235-3 ne s’applique pas.</w:t>
      </w:r>
    </w:p>
    <w:p>
      <w:pPr>
        <w:pStyle w:val="ListBullet"/>
        <w:spacing w:after="40"/>
      </w:pPr>
      <w:r>
        <w:rPr>
          <w:sz w:val="20"/>
        </w:rPr>
        <w:t>Conclure l’enquête par une qualification juridique. Ce n’est ni le rôle de la commission, ni celui de l’employeur.</w:t>
      </w:r>
    </w:p>
    <w:p>
      <w:pPr>
        <w:spacing w:before="240" w:after="80"/>
      </w:pPr>
      <w:r>
        <w:rPr>
          <w:b/>
          <w:i w:val="0"/>
          <w:color w:val="1F3B57"/>
          <w:sz w:val="25"/>
        </w:rPr>
        <w:t>Ce que l’action produit — les pièces à conserver</w:t>
      </w:r>
    </w:p>
    <w:p>
      <w:pPr>
        <w:pStyle w:val="ListBullet"/>
        <w:spacing w:after="40"/>
      </w:pPr>
      <w:r>
        <w:rPr>
          <w:sz w:val="20"/>
        </w:rPr>
        <w:t>Accusé de réception daté</w:t>
      </w:r>
    </w:p>
    <w:p>
      <w:pPr>
        <w:pStyle w:val="ListBullet"/>
        <w:spacing w:after="40"/>
      </w:pPr>
      <w:r>
        <w:rPr>
          <w:sz w:val="20"/>
        </w:rPr>
        <w:t>Comptes rendus d’entretien et d’audition, signés</w:t>
      </w:r>
    </w:p>
    <w:p>
      <w:pPr>
        <w:pStyle w:val="ListBullet"/>
        <w:spacing w:after="40"/>
      </w:pPr>
      <w:r>
        <w:rPr>
          <w:sz w:val="20"/>
        </w:rPr>
        <w:t>Décision écrite sur les mesures conservatoires</w:t>
      </w:r>
    </w:p>
    <w:p>
      <w:pPr>
        <w:pStyle w:val="ListBullet"/>
        <w:spacing w:after="40"/>
      </w:pPr>
      <w:r>
        <w:rPr>
          <w:sz w:val="20"/>
        </w:rPr>
        <w:t>Note motivant la décision d’enquêter ou de ne pas enquêter</w:t>
      </w:r>
    </w:p>
    <w:p>
      <w:pPr>
        <w:pStyle w:val="ListBullet"/>
        <w:spacing w:after="40"/>
      </w:pPr>
      <w:r>
        <w:rPr>
          <w:sz w:val="20"/>
        </w:rPr>
        <w:t>Rapport d’enquête et ses annexes</w:t>
      </w:r>
    </w:p>
    <w:p>
      <w:pPr>
        <w:pStyle w:val="ListBullet"/>
        <w:spacing w:after="40"/>
      </w:pPr>
      <w:r>
        <w:rPr>
          <w:sz w:val="20"/>
        </w:rPr>
        <w:t>Décisions motivées notifiées aux deux parties, contre décharge</w:t>
      </w:r>
    </w:p>
    <w:p>
      <w:pPr>
        <w:pStyle w:val="ListBullet"/>
        <w:spacing w:after="40"/>
      </w:pPr>
      <w:r>
        <w:rPr>
          <w:sz w:val="20"/>
        </w:rPr>
        <w:t>Mise à jour du document unique consécutive au signalement</w:t>
      </w:r>
    </w:p>
    <w:p>
      <w:pPr>
        <w:pStyle w:val="ListBullet"/>
        <w:spacing w:after="40"/>
      </w:pPr>
      <w:r>
        <w:rPr>
          <w:sz w:val="20"/>
        </w:rPr>
        <w:t>Compte rendu de suivi à trois mois</w:t>
      </w:r>
    </w:p>
    <w:p>
      <w:pPr>
        <w:pStyle w:val="ListBullet"/>
        <w:spacing w:after="40"/>
      </w:pPr>
      <w:r>
        <w:rPr>
          <w:sz w:val="20"/>
        </w:rPr>
        <w:t>Le calcul des délais, tel qu’il figure au registre</w:t>
      </w:r>
    </w:p>
    <w:p>
      <w:r>
        <w:br w:type="page"/>
      </w:r>
    </w:p>
    <w:p>
      <w:pPr>
        <w:spacing w:before="0" w:after="80"/>
      </w:pPr>
      <w:r>
        <w:rPr>
          <w:b/>
          <w:i w:val="0"/>
          <w:color w:val="1F3B57"/>
          <w:sz w:val="32"/>
        </w:rPr>
        <w:t>Calendrier type sur douze mois</w:t>
      </w:r>
    </w:p>
    <w:p>
      <w:pPr>
        <w:spacing w:after="160"/>
        <w:pBdr>
          <w:bottom w:val="single" w:sz="8" w:color="C9A84C"/>
        </w:pBdr>
      </w:pPr>
    </w:p>
    <w:p>
      <w:pPr>
        <w:spacing w:before="0" w:after="160"/>
      </w:pPr>
      <w:r>
        <w:rPr>
          <w:b w:val="0"/>
          <w:i/>
          <w:color w:val="555555"/>
          <w:sz w:val="20"/>
        </w:rPr>
        <w:t>Le numéro entre parenthèses renvoie à l’action.</w:t>
      </w:r>
    </w:p>
    <w:tbl>
      <w:tblPr>
        <w:tblStyle w:val="TableGrid"/>
        <w:tblW w:type="auto" w:w="0"/>
        <w:tblLook w:firstColumn="1" w:firstRow="1" w:lastColumn="0" w:lastRow="0" w:noHBand="0" w:noVBand="1" w:val="04A0"/>
      </w:tblPr>
      <w:tblGrid>
        <w:gridCol w:w="1474"/>
        <w:gridCol w:w="7654"/>
      </w:tblGrid>
      <w:tr>
        <w:tc>
          <w:tcPr>
            <w:tcW w:type="dxa" w:w="4873"/>
          </w:tcPr>
          <w:p>
            <w:r/>
            <w:r>
              <w:rPr>
                <w:b/>
                <w:sz w:val="19"/>
              </w:rPr>
              <w:t>Échéance</w:t>
            </w:r>
          </w:p>
        </w:tc>
        <w:tc>
          <w:tcPr>
            <w:tcW w:type="dxa" w:w="4873"/>
          </w:tcPr>
          <w:p>
            <w:r/>
            <w:r>
              <w:rPr>
                <w:b/>
                <w:sz w:val="19"/>
              </w:rPr>
              <w:t>Action</w:t>
            </w:r>
          </w:p>
        </w:tc>
      </w:tr>
      <w:tr>
        <w:tc>
          <w:tcPr>
            <w:tcW w:type="dxa" w:w="4873"/>
          </w:tcPr>
          <w:p>
            <w:r>
              <w:rPr>
                <w:b/>
                <w:sz w:val="19"/>
              </w:rPr>
              <w:t>Mois 1</w:t>
            </w:r>
          </w:p>
        </w:tc>
        <w:tc>
          <w:tcPr>
            <w:tcW w:type="dxa" w:w="4873"/>
          </w:tcPr>
          <w:p>
            <w:r>
              <w:rPr>
                <w:sz w:val="19"/>
              </w:rPr>
              <w:t>Diagnostic des douze actions. Désignation des référents si elle manque (4, 5). Ouverture du registre (11).</w:t>
            </w:r>
          </w:p>
        </w:tc>
      </w:tr>
      <w:tr>
        <w:tc>
          <w:tcPr>
            <w:tcW w:type="dxa" w:w="4873"/>
          </w:tcPr>
          <w:p>
            <w:r>
              <w:rPr>
                <w:b/>
                <w:sz w:val="19"/>
              </w:rPr>
              <w:t>Mois 2</w:t>
            </w:r>
          </w:p>
        </w:tc>
        <w:tc>
          <w:tcPr>
            <w:tcW w:type="dxa" w:w="4873"/>
          </w:tcPr>
          <w:p>
            <w:r>
              <w:rPr>
                <w:sz w:val="19"/>
              </w:rPr>
              <w:t>Écriture de la procédure de signalement (6). Mise à jour du règlement intérieur, consultation du comité (3).</w:t>
            </w:r>
          </w:p>
        </w:tc>
      </w:tr>
      <w:tr>
        <w:tc>
          <w:tcPr>
            <w:tcW w:type="dxa" w:w="4873"/>
          </w:tcPr>
          <w:p>
            <w:r>
              <w:rPr>
                <w:b/>
                <w:sz w:val="19"/>
              </w:rPr>
              <w:t>Mois 3</w:t>
            </w:r>
          </w:p>
        </w:tc>
        <w:tc>
          <w:tcPr>
            <w:tcW w:type="dxa" w:w="4873"/>
          </w:tcPr>
          <w:p>
            <w:r>
              <w:rPr>
                <w:sz w:val="19"/>
              </w:rPr>
              <w:t>Formation des référents — deux jours (8).</w:t>
            </w:r>
          </w:p>
        </w:tc>
      </w:tr>
      <w:tr>
        <w:tc>
          <w:tcPr>
            <w:tcW w:type="dxa" w:w="4873"/>
          </w:tcPr>
          <w:p>
            <w:r>
              <w:rPr>
                <w:b/>
                <w:sz w:val="19"/>
              </w:rPr>
              <w:t>Mois 3</w:t>
            </w:r>
          </w:p>
        </w:tc>
        <w:tc>
          <w:tcPr>
            <w:tcW w:type="dxa" w:w="4873"/>
          </w:tcPr>
          <w:p>
            <w:r>
              <w:rPr>
                <w:sz w:val="19"/>
              </w:rPr>
              <w:t>Affichage mis en place sur tous les sites, photographies datées (2).</w:t>
            </w:r>
          </w:p>
        </w:tc>
      </w:tr>
      <w:tr>
        <w:tc>
          <w:tcPr>
            <w:tcW w:type="dxa" w:w="4873"/>
          </w:tcPr>
          <w:p>
            <w:r>
              <w:rPr>
                <w:b/>
                <w:sz w:val="19"/>
              </w:rPr>
              <w:t>Mois 4 à 6</w:t>
            </w:r>
          </w:p>
        </w:tc>
        <w:tc>
          <w:tcPr>
            <w:tcW w:type="dxa" w:w="4873"/>
          </w:tcPr>
          <w:p>
            <w:r>
              <w:rPr>
                <w:sz w:val="19"/>
              </w:rPr>
              <w:t>Formation de l’encadrement — une journée par session de douze à quinze (7).</w:t>
            </w:r>
          </w:p>
        </w:tc>
      </w:tr>
      <w:tr>
        <w:tc>
          <w:tcPr>
            <w:tcW w:type="dxa" w:w="4873"/>
          </w:tcPr>
          <w:p>
            <w:r>
              <w:rPr>
                <w:b/>
                <w:sz w:val="19"/>
              </w:rPr>
              <w:t>Mois 5</w:t>
            </w:r>
          </w:p>
        </w:tc>
        <w:tc>
          <w:tcPr>
            <w:tcW w:type="dxa" w:w="4873"/>
          </w:tcPr>
          <w:p>
            <w:r>
              <w:rPr>
                <w:sz w:val="19"/>
              </w:rPr>
              <w:t>Mise à jour du document unique, volet risques psychosociaux, avec consultation du comité (1).</w:t>
            </w:r>
          </w:p>
        </w:tc>
      </w:tr>
      <w:tr>
        <w:tc>
          <w:tcPr>
            <w:tcW w:type="dxa" w:w="4873"/>
          </w:tcPr>
          <w:p>
            <w:r>
              <w:rPr>
                <w:b/>
                <w:sz w:val="19"/>
              </w:rPr>
              <w:t>Mois 6 à 8</w:t>
            </w:r>
          </w:p>
        </w:tc>
        <w:tc>
          <w:tcPr>
            <w:tcW w:type="dxa" w:w="4873"/>
          </w:tcPr>
          <w:p>
            <w:r>
              <w:rPr>
                <w:sz w:val="19"/>
              </w:rPr>
              <w:t>Information de l’ensemble des salariés — une heure trente par groupe (9).</w:t>
            </w:r>
          </w:p>
        </w:tc>
      </w:tr>
      <w:tr>
        <w:tc>
          <w:tcPr>
            <w:tcW w:type="dxa" w:w="4873"/>
          </w:tcPr>
          <w:p>
            <w:r>
              <w:rPr>
                <w:b/>
                <w:sz w:val="19"/>
              </w:rPr>
              <w:t>Mois 7</w:t>
            </w:r>
          </w:p>
        </w:tc>
        <w:tc>
          <w:tcPr>
            <w:tcW w:type="dxa" w:w="4873"/>
          </w:tcPr>
          <w:p>
            <w:r>
              <w:rPr>
                <w:sz w:val="19"/>
              </w:rPr>
              <w:t>Intégration de la notice au livret d’accueil ; premier contrôle mensuel des entrants (10).</w:t>
            </w:r>
          </w:p>
        </w:tc>
      </w:tr>
      <w:tr>
        <w:tc>
          <w:tcPr>
            <w:tcW w:type="dxa" w:w="4873"/>
          </w:tcPr>
          <w:p>
            <w:r>
              <w:rPr>
                <w:b/>
                <w:sz w:val="19"/>
              </w:rPr>
              <w:t>Mois 9</w:t>
            </w:r>
          </w:p>
        </w:tc>
        <w:tc>
          <w:tcPr>
            <w:tcW w:type="dxa" w:w="4873"/>
          </w:tcPr>
          <w:p>
            <w:r>
              <w:rPr>
                <w:sz w:val="19"/>
              </w:rPr>
              <w:t>Dépôt du règlement intérieur au greffe, transmission à l’inspection du travail (3).</w:t>
            </w:r>
          </w:p>
        </w:tc>
      </w:tr>
      <w:tr>
        <w:tc>
          <w:tcPr>
            <w:tcW w:type="dxa" w:w="4873"/>
          </w:tcPr>
          <w:p>
            <w:r>
              <w:rPr>
                <w:b/>
                <w:sz w:val="19"/>
              </w:rPr>
              <w:t>Mois 12</w:t>
            </w:r>
          </w:p>
        </w:tc>
        <w:tc>
          <w:tcPr>
            <w:tcW w:type="dxa" w:w="4873"/>
          </w:tcPr>
          <w:p>
            <w:r>
              <w:rPr>
                <w:sz w:val="19"/>
              </w:rPr>
              <w:t>Bilan annuel du registre (11). Consultation du comité. Édition du dossier de preuve.</w:t>
            </w:r>
          </w:p>
        </w:tc>
      </w:tr>
      <w:tr>
        <w:tc>
          <w:tcPr>
            <w:tcW w:type="dxa" w:w="4873"/>
          </w:tcPr>
          <w:p>
            <w:r>
              <w:rPr>
                <w:b/>
                <w:sz w:val="19"/>
              </w:rPr>
              <w:t>Puis</w:t>
            </w:r>
          </w:p>
        </w:tc>
        <w:tc>
          <w:tcPr>
            <w:tcW w:type="dxa" w:w="4873"/>
          </w:tcPr>
          <w:p>
            <w:r>
              <w:rPr>
                <w:sz w:val="19"/>
              </w:rPr>
              <w:t>Rappel de deux heures pour l’encadrement tous les deux ans (7). Information annuelle pour tous (9). Contrôle semestriel de l’affichage (2). Mise à jour annuelle du document unique (1). L’action 12 s’applique à chaque signalement, sans calendrier.</w:t>
            </w:r>
          </w:p>
        </w:tc>
      </w:tr>
    </w:tbl>
    <w:p>
      <w:pPr>
        <w:spacing w:before="240" w:after="120"/>
      </w:pPr>
      <w:r>
        <w:rPr>
          <w:b w:val="0"/>
          <w:i/>
          <w:color w:val="555555"/>
          <w:sz w:val="19"/>
        </w:rPr>
        <w:t>Ce calendrier n’est pas une contrainte réglementaire : c’est l’ordre dans lequel les actions se tiennent le mieux. Ce qui compte devant le juge, c’est que chacune des douze soit datée et prouvée.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