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Leader</w:t>
      </w:r>
      <w:r>
        <w:br w:type="textWrapping"/>
      </w:r>
      <w:r>
        <w:br w:type="textWrapping"/>
      </w:r>
      <w:r>
        <w:t xml:space="preserve">Technology Leader and Data Architect with an Operations Research</w:t>
      </w:r>
      <w:r>
        <w:t xml:space="preserve"> </w:t>
      </w:r>
      <w:r>
        <w:t xml:space="preserve">background. In love with data driven decision making. French, living in</w:t>
      </w:r>
      <w:r>
        <w:t xml:space="preserve"> </w:t>
      </w:r>
      <w:r>
        <w:t xml:space="preserve">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pi.org/project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/" TargetMode="External" /><Relationship Type="http://schemas.openxmlformats.org/officeDocument/2006/relationships/hyperlink" Id="rId44" Target="https://www.linkedin.com/in/semigabteni/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pi.org/project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/" TargetMode="External" /><Relationship Type="http://schemas.openxmlformats.org/officeDocument/2006/relationships/hyperlink" Id="rId44" Target="https://www.linkedin.com/in/semigabteni/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2020-11-23T10:51:23Z</dcterms:created>
  <dcterms:modified xsi:type="dcterms:W3CDTF">2020-11-23T10:51:23Z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