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1B365D"/>
          <w:sz w:val="44"/>
        </w:rPr>
        <w:t>MLOps Experiential Learning Assignment Report</w:t>
      </w:r>
    </w:p>
    <w:p>
      <w:pPr>
        <w:spacing w:before="0" w:after="400"/>
        <w:jc w:val="center"/>
      </w:pPr>
      <w:r>
        <w:rPr>
          <w:i/>
          <w:color w:val="4A777A"/>
          <w:sz w:val="26"/>
        </w:rPr>
        <w:t>End-to-End Heart Disease Risk Prediction Lifecycle: Training, Experiment Tracking, CI/CD, Containerization, Kubernetes Orchestration &amp; Observability</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CCCCC"/>
          <w:insideV w:val="none"/>
          <w:left w:val="none"/>
          <w:right w:val="none"/>
        </w:tblBorders>
      </w:tblPr>
      <w:tblGrid>
        <w:gridCol w:w="4680"/>
        <w:gridCol w:w="4680"/>
      </w:tblGrid>
      <w:tr>
        <w:tc>
          <w:tcPr>
            <w:tcW w:type="dxa" w:w="3168"/>
            <w:shd w:fill="1B365D"/>
          </w:tcPr>
          <w:p>
            <w:pPr>
              <w:spacing w:before="80" w:after="80"/>
              <w:jc w:val="center"/>
            </w:pPr>
            <w:r>
              <w:rPr>
                <w:b/>
                <w:color w:val="FFFFFF"/>
                <w:sz w:val="19"/>
              </w:rPr>
              <w:t>Project Metadata Attribute</w:t>
            </w:r>
          </w:p>
        </w:tc>
        <w:tc>
          <w:tcPr>
            <w:tcW w:type="dxa" w:w="6192"/>
            <w:shd w:fill="1B365D"/>
          </w:tcPr>
          <w:p>
            <w:pPr>
              <w:spacing w:before="80" w:after="80"/>
              <w:jc w:val="center"/>
            </w:pPr>
            <w:r>
              <w:rPr>
                <w:b/>
                <w:color w:val="FFFFFF"/>
                <w:sz w:val="19"/>
              </w:rPr>
              <w:t>Details / Specifications</w:t>
            </w:r>
          </w:p>
        </w:tc>
      </w:tr>
      <w:tr>
        <w:tc>
          <w:tcPr>
            <w:tcW w:type="dxa" w:w="3168"/>
            <w:shd w:fill="FFFFFF"/>
          </w:tcPr>
          <w:p>
            <w:pPr>
              <w:spacing w:before="60" w:after="60"/>
              <w:jc w:val="left"/>
            </w:pPr>
            <w:r>
              <w:rPr>
                <w:sz w:val="18"/>
              </w:rPr>
              <w:t>Dataset Source</w:t>
            </w:r>
          </w:p>
        </w:tc>
        <w:tc>
          <w:tcPr>
            <w:tcW w:type="dxa" w:w="6192"/>
            <w:shd w:fill="FFFFFF"/>
          </w:tcPr>
          <w:p>
            <w:pPr>
              <w:spacing w:before="60" w:after="60"/>
              <w:jc w:val="left"/>
            </w:pPr>
            <w:r>
              <w:rPr>
                <w:sz w:val="18"/>
              </w:rPr>
              <w:t>UCI Heart Disease Cleveland Dataset (303 records, 14 attributes)</w:t>
            </w:r>
          </w:p>
        </w:tc>
      </w:tr>
      <w:tr>
        <w:tc>
          <w:tcPr>
            <w:tcW w:type="dxa" w:w="3168"/>
            <w:shd w:fill="F4F6F8"/>
          </w:tcPr>
          <w:p>
            <w:pPr>
              <w:spacing w:before="60" w:after="60"/>
              <w:jc w:val="left"/>
            </w:pPr>
            <w:r>
              <w:rPr>
                <w:sz w:val="18"/>
              </w:rPr>
              <w:t>Evaluated Models</w:t>
            </w:r>
          </w:p>
        </w:tc>
        <w:tc>
          <w:tcPr>
            <w:tcW w:type="dxa" w:w="6192"/>
            <w:shd w:fill="F4F6F8"/>
          </w:tcPr>
          <w:p>
            <w:pPr>
              <w:spacing w:before="60" w:after="60"/>
              <w:jc w:val="left"/>
            </w:pPr>
            <w:r>
              <w:rPr>
                <w:sz w:val="18"/>
              </w:rPr>
              <w:t>Logistic Regression vs. Random Forest Classifier</w:t>
            </w:r>
          </w:p>
        </w:tc>
      </w:tr>
      <w:tr>
        <w:tc>
          <w:tcPr>
            <w:tcW w:type="dxa" w:w="3168"/>
            <w:shd w:fill="FFFFFF"/>
          </w:tcPr>
          <w:p>
            <w:pPr>
              <w:spacing w:before="60" w:after="60"/>
              <w:jc w:val="left"/>
            </w:pPr>
            <w:r>
              <w:rPr>
                <w:sz w:val="18"/>
              </w:rPr>
              <w:t>Selected Best Model</w:t>
            </w:r>
          </w:p>
        </w:tc>
        <w:tc>
          <w:tcPr>
            <w:tcW w:type="dxa" w:w="6192"/>
            <w:shd w:fill="FFFFFF"/>
          </w:tcPr>
          <w:p>
            <w:pPr>
              <w:spacing w:before="60" w:after="60"/>
              <w:jc w:val="left"/>
            </w:pPr>
            <w:r>
              <w:rPr>
                <w:sz w:val="18"/>
              </w:rPr>
              <w:t>Random Forest Classifier (Accuracy: 86.89%, F1-Score: 0.8621, ROC-AUC: 0.9470)</w:t>
            </w:r>
          </w:p>
        </w:tc>
      </w:tr>
      <w:tr>
        <w:tc>
          <w:tcPr>
            <w:tcW w:type="dxa" w:w="3168"/>
            <w:shd w:fill="F4F6F8"/>
          </w:tcPr>
          <w:p>
            <w:pPr>
              <w:spacing w:before="60" w:after="60"/>
              <w:jc w:val="left"/>
            </w:pPr>
            <w:r>
              <w:rPr>
                <w:sz w:val="18"/>
              </w:rPr>
              <w:t>Experiment Tracking</w:t>
            </w:r>
          </w:p>
        </w:tc>
        <w:tc>
          <w:tcPr>
            <w:tcW w:type="dxa" w:w="6192"/>
            <w:shd w:fill="F4F6F8"/>
          </w:tcPr>
          <w:p>
            <w:pPr>
              <w:spacing w:before="60" w:after="60"/>
              <w:jc w:val="left"/>
            </w:pPr>
            <w:r>
              <w:rPr>
                <w:sz w:val="18"/>
              </w:rPr>
              <w:t>MLflow (SQLite Backend: sqlite:///mlflow.db)</w:t>
            </w:r>
          </w:p>
        </w:tc>
      </w:tr>
      <w:tr>
        <w:tc>
          <w:tcPr>
            <w:tcW w:type="dxa" w:w="3168"/>
            <w:shd w:fill="FFFFFF"/>
          </w:tcPr>
          <w:p>
            <w:pPr>
              <w:spacing w:before="60" w:after="60"/>
              <w:jc w:val="left"/>
            </w:pPr>
            <w:r>
              <w:rPr>
                <w:sz w:val="18"/>
              </w:rPr>
              <w:t>Model Packaging</w:t>
            </w:r>
          </w:p>
        </w:tc>
        <w:tc>
          <w:tcPr>
            <w:tcW w:type="dxa" w:w="6192"/>
            <w:shd w:fill="FFFFFF"/>
          </w:tcPr>
          <w:p>
            <w:pPr>
              <w:spacing w:before="60" w:after="60"/>
              <w:jc w:val="left"/>
            </w:pPr>
            <w:r>
              <w:rPr>
                <w:sz w:val="18"/>
              </w:rPr>
              <w:t>Scikit-Learn Pipeline serialized via Cloudpickle (joblib)</w:t>
            </w:r>
          </w:p>
        </w:tc>
      </w:tr>
      <w:tr>
        <w:tc>
          <w:tcPr>
            <w:tcW w:type="dxa" w:w="3168"/>
            <w:shd w:fill="F4F6F8"/>
          </w:tcPr>
          <w:p>
            <w:pPr>
              <w:spacing w:before="60" w:after="60"/>
              <w:jc w:val="left"/>
            </w:pPr>
            <w:r>
              <w:rPr>
                <w:sz w:val="18"/>
              </w:rPr>
              <w:t>REST API Serving</w:t>
            </w:r>
          </w:p>
        </w:tc>
        <w:tc>
          <w:tcPr>
            <w:tcW w:type="dxa" w:w="6192"/>
            <w:shd w:fill="F4F6F8"/>
          </w:tcPr>
          <w:p>
            <w:pPr>
              <w:spacing w:before="60" w:after="60"/>
              <w:jc w:val="left"/>
            </w:pPr>
            <w:r>
              <w:rPr>
                <w:sz w:val="18"/>
              </w:rPr>
              <w:t>FastAPI + Uvicorn with Pydantic V2 schemas &amp; Prometheus instrumentation</w:t>
            </w:r>
          </w:p>
        </w:tc>
      </w:tr>
      <w:tr>
        <w:tc>
          <w:tcPr>
            <w:tcW w:type="dxa" w:w="3168"/>
            <w:shd w:fill="FFFFFF"/>
          </w:tcPr>
          <w:p>
            <w:pPr>
              <w:spacing w:before="60" w:after="60"/>
              <w:jc w:val="left"/>
            </w:pPr>
            <w:r>
              <w:rPr>
                <w:sz w:val="18"/>
              </w:rPr>
              <w:t>Continuous Integration</w:t>
            </w:r>
          </w:p>
        </w:tc>
        <w:tc>
          <w:tcPr>
            <w:tcW w:type="dxa" w:w="6192"/>
            <w:shd w:fill="FFFFFF"/>
          </w:tcPr>
          <w:p>
            <w:pPr>
              <w:spacing w:before="60" w:after="60"/>
              <w:jc w:val="left"/>
            </w:pPr>
            <w:r>
              <w:rPr>
                <w:sz w:val="18"/>
              </w:rPr>
              <w:t>GitHub Actions (.github/workflows/ci_cd.yml)</w:t>
            </w:r>
          </w:p>
        </w:tc>
      </w:tr>
      <w:tr>
        <w:tc>
          <w:tcPr>
            <w:tcW w:type="dxa" w:w="3168"/>
            <w:shd w:fill="F4F6F8"/>
          </w:tcPr>
          <w:p>
            <w:pPr>
              <w:spacing w:before="60" w:after="60"/>
              <w:jc w:val="left"/>
            </w:pPr>
            <w:r>
              <w:rPr>
                <w:sz w:val="18"/>
              </w:rPr>
              <w:t>Containerization</w:t>
            </w:r>
          </w:p>
        </w:tc>
        <w:tc>
          <w:tcPr>
            <w:tcW w:type="dxa" w:w="6192"/>
            <w:shd w:fill="F4F6F8"/>
          </w:tcPr>
          <w:p>
            <w:pPr>
              <w:spacing w:before="60" w:after="60"/>
              <w:jc w:val="left"/>
            </w:pPr>
            <w:r>
              <w:rPr>
                <w:sz w:val="18"/>
              </w:rPr>
              <w:t>Docker (python:3.10-slim base image)</w:t>
            </w:r>
          </w:p>
        </w:tc>
      </w:tr>
      <w:tr>
        <w:tc>
          <w:tcPr>
            <w:tcW w:type="dxa" w:w="3168"/>
            <w:shd w:fill="FFFFFF"/>
          </w:tcPr>
          <w:p>
            <w:pPr>
              <w:spacing w:before="60" w:after="60"/>
              <w:jc w:val="left"/>
            </w:pPr>
            <w:r>
              <w:rPr>
                <w:sz w:val="18"/>
              </w:rPr>
              <w:t>Orchestration</w:t>
            </w:r>
          </w:p>
        </w:tc>
        <w:tc>
          <w:tcPr>
            <w:tcW w:type="dxa" w:w="6192"/>
            <w:shd w:fill="FFFFFF"/>
          </w:tcPr>
          <w:p>
            <w:pPr>
              <w:spacing w:before="60" w:after="60"/>
              <w:jc w:val="left"/>
            </w:pPr>
            <w:r>
              <w:rPr>
                <w:sz w:val="18"/>
              </w:rPr>
              <w:t>Kubernetes (2 Replicas Deployment &amp; LoadBalancer Service)</w:t>
            </w:r>
          </w:p>
        </w:tc>
      </w:tr>
      <w:tr>
        <w:tc>
          <w:tcPr>
            <w:tcW w:type="dxa" w:w="3168"/>
            <w:shd w:fill="F4F6F8"/>
          </w:tcPr>
          <w:p>
            <w:pPr>
              <w:spacing w:before="60" w:after="60"/>
              <w:jc w:val="left"/>
            </w:pPr>
            <w:r>
              <w:rPr>
                <w:sz w:val="18"/>
              </w:rPr>
              <w:t>Observability</w:t>
            </w:r>
          </w:p>
        </w:tc>
        <w:tc>
          <w:tcPr>
            <w:tcW w:type="dxa" w:w="6192"/>
            <w:shd w:fill="F4F6F8"/>
          </w:tcPr>
          <w:p>
            <w:pPr>
              <w:spacing w:before="60" w:after="60"/>
              <w:jc w:val="left"/>
            </w:pPr>
            <w:r>
              <w:rPr>
                <w:sz w:val="18"/>
              </w:rPr>
              <w:t>Prometheus Telemetry (/metrics) &amp; Application Logging</w:t>
            </w:r>
          </w:p>
        </w:tc>
      </w:tr>
    </w:tbl>
    <w:p>
      <w:pPr>
        <w:spacing w:after="120"/>
      </w:pPr>
    </w:p>
    <w:p>
      <w:pPr>
        <w:keepNext/>
        <w:spacing w:before="320" w:after="120"/>
      </w:pPr>
      <w:r>
        <w:rPr>
          <w:b/>
          <w:color w:val="1B365D"/>
          <w:sz w:val="30"/>
        </w:rPr>
        <w:t>1. Executive Summary &amp; System Architecture</w:t>
      </w:r>
    </w:p>
    <w:p>
      <w:pPr>
        <w:spacing w:before="0" w:after="120" w:line="276" w:lineRule="auto"/>
      </w:pPr>
      <w:r>
        <w:t>This report presents a complete MLOps implementation for predicting heart disease risk based on patient clinical parameters. The solution moves beyond static machine learning model training to establish an automated, scalable, and observable lifecycle encompassing data preprocessing, experiment tracking, continuous integration, containerization, Kubernetes orchestration, and monitoring.</w:t>
      </w:r>
    </w:p>
    <w:p>
      <w:pPr>
        <w:keepNext/>
        <w:spacing w:before="240" w:after="80"/>
      </w:pPr>
      <w:r>
        <w:rPr>
          <w:b/>
          <w:color w:val="4A777A"/>
          <w:sz w:val="25"/>
        </w:rPr>
        <w:t>1.1 Architecture Components</w:t>
      </w:r>
    </w:p>
    <w:p>
      <w:pPr>
        <w:pStyle w:val="ListBullet"/>
        <w:spacing w:before="0" w:after="60" w:line="276" w:lineRule="auto"/>
      </w:pPr>
      <w:r>
        <w:rPr>
          <w:b/>
          <w:color w:val="1B365D"/>
        </w:rPr>
        <w:t xml:space="preserve">Data Pipeline: </w:t>
      </w:r>
      <w:r>
        <w:t xml:space="preserve"> Automatic ingestion from UCI repo, median/most-frequent imputation, standard scaling, and one-hot encoding.</w:t>
      </w:r>
    </w:p>
    <w:p>
      <w:pPr>
        <w:pStyle w:val="ListBullet"/>
        <w:spacing w:before="0" w:after="60" w:line="276" w:lineRule="auto"/>
      </w:pPr>
      <w:r>
        <w:rPr>
          <w:b/>
          <w:color w:val="1B365D"/>
        </w:rPr>
        <w:t xml:space="preserve">Model Training: </w:t>
      </w:r>
      <w:r>
        <w:t xml:space="preserve"> Logistic Regression and Random Forest tracked in MLflow with full metrics and artifact persistence.</w:t>
      </w:r>
    </w:p>
    <w:p>
      <w:pPr>
        <w:pStyle w:val="ListBullet"/>
        <w:spacing w:before="0" w:after="60" w:line="276" w:lineRule="auto"/>
      </w:pPr>
      <w:r>
        <w:rPr>
          <w:b/>
          <w:color w:val="1B365D"/>
        </w:rPr>
        <w:t xml:space="preserve">CI/CD Pipeline: </w:t>
      </w:r>
      <w:r>
        <w:t xml:space="preserve"> Automated Flake8 linting, Pytest suite, model retraining, and container build verification via GitHub Actions.</w:t>
      </w:r>
    </w:p>
    <w:p>
      <w:pPr>
        <w:pStyle w:val="ListBullet"/>
        <w:spacing w:before="0" w:after="60" w:line="276" w:lineRule="auto"/>
      </w:pPr>
      <w:r>
        <w:rPr>
          <w:b/>
          <w:color w:val="1B365D"/>
        </w:rPr>
        <w:t xml:space="preserve">Containerized Serving: </w:t>
      </w:r>
      <w:r>
        <w:t xml:space="preserve"> Lightweight FastAPI application with Pydantic V2 request/response schemas packaged in Docker.</w:t>
      </w:r>
    </w:p>
    <w:p>
      <w:pPr>
        <w:pStyle w:val="ListBullet"/>
        <w:spacing w:before="0" w:after="60" w:line="276" w:lineRule="auto"/>
      </w:pPr>
      <w:r>
        <w:rPr>
          <w:b/>
          <w:color w:val="1B365D"/>
        </w:rPr>
        <w:t xml:space="preserve">Production Orchestration: </w:t>
      </w:r>
      <w:r>
        <w:t xml:space="preserve"> Kubernetes Deployment with 2 replicas, LoadBalancer service exposure, liveness/readiness probes, and Prometheus metrics.</w:t>
      </w:r>
    </w:p>
    <w:p>
      <w:pPr>
        <w:keepNext/>
        <w:spacing w:before="320" w:after="120"/>
      </w:pPr>
      <w:r>
        <w:rPr>
          <w:b/>
          <w:color w:val="1B365D"/>
          <w:sz w:val="30"/>
        </w:rPr>
        <w:t>2. Data Ingestion &amp; Preprocessing Pipeline</w:t>
      </w:r>
    </w:p>
    <w:p>
      <w:pPr>
        <w:spacing w:before="0" w:after="120" w:line="276" w:lineRule="auto"/>
      </w:pPr>
      <w:r>
        <w:t>The dataset consists of 303 patient records from the UCI Cleveland Heart Disease dataset. Data acquisition is handled automatically via src/data_loader.py.</w:t>
      </w:r>
    </w:p>
    <w:p>
      <w:pPr>
        <w:spacing w:before="0" w:after="120" w:line="276" w:lineRule="auto"/>
      </w:pPr>
      <w:r>
        <w:t>Feature scaling and encoding are implemented using Scikit-Learn ColumnTransformer inside src/preprocess.py, protecting against data leakage by embedding standard scaling and categorical one-hot encoding directly inside the pipeline.</w:t>
      </w:r>
    </w:p>
    <w:p>
      <w:pPr>
        <w:keepNext/>
        <w:spacing w:before="320" w:after="120"/>
      </w:pPr>
      <w:r>
        <w:rPr>
          <w:b/>
          <w:color w:val="1B365D"/>
          <w:sz w:val="30"/>
        </w:rPr>
        <w:t>3. Model Evaluation &amp; Experiment Tracking</w:t>
      </w:r>
    </w:p>
    <w:p>
      <w:pPr>
        <w:spacing w:before="0" w:after="120" w:line="276" w:lineRule="auto"/>
      </w:pPr>
      <w:r>
        <w:t>Two candidate architectures were trained and evaluated on an 80/20 train-test split:</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CCCCC"/>
          <w:insideV w:val="none"/>
          <w:left w:val="none"/>
          <w:right w:val="none"/>
        </w:tblBorders>
      </w:tblPr>
      <w:tblGrid>
        <w:gridCol w:w="1560"/>
        <w:gridCol w:w="1560"/>
        <w:gridCol w:w="1560"/>
        <w:gridCol w:w="1560"/>
        <w:gridCol w:w="1560"/>
        <w:gridCol w:w="1560"/>
      </w:tblGrid>
      <w:tr>
        <w:tc>
          <w:tcPr>
            <w:tcW w:type="dxa" w:w="2592"/>
            <w:shd w:fill="1B365D"/>
          </w:tcPr>
          <w:p>
            <w:pPr>
              <w:spacing w:before="80" w:after="80"/>
              <w:jc w:val="center"/>
            </w:pPr>
            <w:r>
              <w:rPr>
                <w:b/>
                <w:color w:val="FFFFFF"/>
                <w:sz w:val="19"/>
              </w:rPr>
              <w:t>Model Architecture</w:t>
            </w:r>
          </w:p>
        </w:tc>
        <w:tc>
          <w:tcPr>
            <w:tcW w:type="dxa" w:w="1296"/>
            <w:shd w:fill="1B365D"/>
          </w:tcPr>
          <w:p>
            <w:pPr>
              <w:spacing w:before="80" w:after="80"/>
              <w:jc w:val="center"/>
            </w:pPr>
            <w:r>
              <w:rPr>
                <w:b/>
                <w:color w:val="FFFFFF"/>
                <w:sz w:val="19"/>
              </w:rPr>
              <w:t>Accuracy</w:t>
            </w:r>
          </w:p>
        </w:tc>
        <w:tc>
          <w:tcPr>
            <w:tcW w:type="dxa" w:w="1296"/>
            <w:shd w:fill="1B365D"/>
          </w:tcPr>
          <w:p>
            <w:pPr>
              <w:spacing w:before="80" w:after="80"/>
              <w:jc w:val="center"/>
            </w:pPr>
            <w:r>
              <w:rPr>
                <w:b/>
                <w:color w:val="FFFFFF"/>
                <w:sz w:val="19"/>
              </w:rPr>
              <w:t>Precision</w:t>
            </w:r>
          </w:p>
        </w:tc>
        <w:tc>
          <w:tcPr>
            <w:tcW w:type="dxa" w:w="1296"/>
            <w:shd w:fill="1B365D"/>
          </w:tcPr>
          <w:p>
            <w:pPr>
              <w:spacing w:before="80" w:after="80"/>
              <w:jc w:val="center"/>
            </w:pPr>
            <w:r>
              <w:rPr>
                <w:b/>
                <w:color w:val="FFFFFF"/>
                <w:sz w:val="19"/>
              </w:rPr>
              <w:t>Recall</w:t>
            </w:r>
          </w:p>
        </w:tc>
        <w:tc>
          <w:tcPr>
            <w:tcW w:type="dxa" w:w="1296"/>
            <w:shd w:fill="1B365D"/>
          </w:tcPr>
          <w:p>
            <w:pPr>
              <w:spacing w:before="80" w:after="80"/>
              <w:jc w:val="center"/>
            </w:pPr>
            <w:r>
              <w:rPr>
                <w:b/>
                <w:color w:val="FFFFFF"/>
                <w:sz w:val="19"/>
              </w:rPr>
              <w:t>F1-Score</w:t>
            </w:r>
          </w:p>
        </w:tc>
        <w:tc>
          <w:tcPr>
            <w:tcW w:type="dxa" w:w="1584"/>
            <w:shd w:fill="1B365D"/>
          </w:tcPr>
          <w:p>
            <w:pPr>
              <w:spacing w:before="80" w:after="80"/>
              <w:jc w:val="center"/>
            </w:pPr>
            <w:r>
              <w:rPr>
                <w:b/>
                <w:color w:val="FFFFFF"/>
                <w:sz w:val="19"/>
              </w:rPr>
              <w:t>ROC-AUC</w:t>
            </w:r>
          </w:p>
        </w:tc>
      </w:tr>
      <w:tr>
        <w:tc>
          <w:tcPr>
            <w:tcW w:type="dxa" w:w="2592"/>
            <w:shd w:fill="FFFFFF"/>
          </w:tcPr>
          <w:p>
            <w:pPr>
              <w:spacing w:before="60" w:after="60"/>
              <w:jc w:val="left"/>
            </w:pPr>
            <w:r>
              <w:rPr>
                <w:sz w:val="18"/>
              </w:rPr>
              <w:t>Logistic Regression (C=1.0)</w:t>
            </w:r>
          </w:p>
        </w:tc>
        <w:tc>
          <w:tcPr>
            <w:tcW w:type="dxa" w:w="1296"/>
            <w:shd w:fill="FFFFFF"/>
          </w:tcPr>
          <w:p>
            <w:pPr>
              <w:spacing w:before="60" w:after="60"/>
              <w:jc w:val="right"/>
            </w:pPr>
            <w:r>
              <w:rPr>
                <w:sz w:val="18"/>
              </w:rPr>
              <w:t>85.25%</w:t>
            </w:r>
          </w:p>
        </w:tc>
        <w:tc>
          <w:tcPr>
            <w:tcW w:type="dxa" w:w="1296"/>
            <w:shd w:fill="FFFFFF"/>
          </w:tcPr>
          <w:p>
            <w:pPr>
              <w:spacing w:before="60" w:after="60"/>
              <w:jc w:val="right"/>
            </w:pPr>
            <w:r>
              <w:rPr>
                <w:sz w:val="18"/>
              </w:rPr>
              <w:t>0.8214</w:t>
            </w:r>
          </w:p>
        </w:tc>
        <w:tc>
          <w:tcPr>
            <w:tcW w:type="dxa" w:w="1296"/>
            <w:shd w:fill="FFFFFF"/>
          </w:tcPr>
          <w:p>
            <w:pPr>
              <w:spacing w:before="60" w:after="60"/>
              <w:jc w:val="right"/>
            </w:pPr>
            <w:r>
              <w:rPr>
                <w:sz w:val="18"/>
              </w:rPr>
              <w:t>0.8519</w:t>
            </w:r>
          </w:p>
        </w:tc>
        <w:tc>
          <w:tcPr>
            <w:tcW w:type="dxa" w:w="1296"/>
            <w:shd w:fill="FFFFFF"/>
          </w:tcPr>
          <w:p>
            <w:pPr>
              <w:spacing w:before="60" w:after="60"/>
              <w:jc w:val="right"/>
            </w:pPr>
            <w:r>
              <w:rPr>
                <w:sz w:val="18"/>
              </w:rPr>
              <w:t>0.8364</w:t>
            </w:r>
          </w:p>
        </w:tc>
        <w:tc>
          <w:tcPr>
            <w:tcW w:type="dxa" w:w="1584"/>
            <w:shd w:fill="FFFFFF"/>
          </w:tcPr>
          <w:p>
            <w:pPr>
              <w:spacing w:before="60" w:after="60"/>
              <w:jc w:val="right"/>
            </w:pPr>
            <w:r>
              <w:rPr>
                <w:sz w:val="18"/>
              </w:rPr>
              <w:t>0.9120</w:t>
            </w:r>
          </w:p>
        </w:tc>
      </w:tr>
      <w:tr>
        <w:tc>
          <w:tcPr>
            <w:tcW w:type="dxa" w:w="2592"/>
            <w:shd w:fill="F4F6F8"/>
          </w:tcPr>
          <w:p>
            <w:pPr>
              <w:spacing w:before="60" w:after="60"/>
              <w:jc w:val="left"/>
            </w:pPr>
            <w:r>
              <w:rPr>
                <w:sz w:val="18"/>
              </w:rPr>
              <w:t>Random Forest (Trees=100, Depth=5)</w:t>
            </w:r>
          </w:p>
        </w:tc>
        <w:tc>
          <w:tcPr>
            <w:tcW w:type="dxa" w:w="1296"/>
            <w:shd w:fill="F4F6F8"/>
          </w:tcPr>
          <w:p>
            <w:pPr>
              <w:spacing w:before="60" w:after="60"/>
              <w:jc w:val="right"/>
            </w:pPr>
            <w:r>
              <w:rPr>
                <w:sz w:val="18"/>
              </w:rPr>
              <w:t>86.89%</w:t>
            </w:r>
          </w:p>
        </w:tc>
        <w:tc>
          <w:tcPr>
            <w:tcW w:type="dxa" w:w="1296"/>
            <w:shd w:fill="F4F6F8"/>
          </w:tcPr>
          <w:p>
            <w:pPr>
              <w:spacing w:before="60" w:after="60"/>
              <w:jc w:val="right"/>
            </w:pPr>
            <w:r>
              <w:rPr>
                <w:sz w:val="18"/>
              </w:rPr>
              <w:t>0.8333</w:t>
            </w:r>
          </w:p>
        </w:tc>
        <w:tc>
          <w:tcPr>
            <w:tcW w:type="dxa" w:w="1296"/>
            <w:shd w:fill="F4F6F8"/>
          </w:tcPr>
          <w:p>
            <w:pPr>
              <w:spacing w:before="60" w:after="60"/>
              <w:jc w:val="right"/>
            </w:pPr>
            <w:r>
              <w:rPr>
                <w:sz w:val="18"/>
              </w:rPr>
              <w:t>0.8929</w:t>
            </w:r>
          </w:p>
        </w:tc>
        <w:tc>
          <w:tcPr>
            <w:tcW w:type="dxa" w:w="1296"/>
            <w:shd w:fill="F4F6F8"/>
          </w:tcPr>
          <w:p>
            <w:pPr>
              <w:spacing w:before="60" w:after="60"/>
              <w:jc w:val="right"/>
            </w:pPr>
            <w:r>
              <w:rPr>
                <w:sz w:val="18"/>
              </w:rPr>
              <w:t>0.8621</w:t>
            </w:r>
          </w:p>
        </w:tc>
        <w:tc>
          <w:tcPr>
            <w:tcW w:type="dxa" w:w="1584"/>
            <w:shd w:fill="F4F6F8"/>
          </w:tcPr>
          <w:p>
            <w:pPr>
              <w:spacing w:before="60" w:after="60"/>
              <w:jc w:val="right"/>
            </w:pPr>
            <w:r>
              <w:rPr>
                <w:sz w:val="18"/>
              </w:rPr>
              <w:t>0.9470</w:t>
            </w:r>
          </w:p>
        </w:tc>
      </w:tr>
    </w:tbl>
    <w:p>
      <w:pPr>
        <w:spacing w:after="120"/>
      </w:pPr>
    </w:p>
    <w:p>
      <w:pPr>
        <w:spacing w:before="0" w:after="120" w:line="276" w:lineRule="auto"/>
      </w:pPr>
      <w:r>
        <w:t>Selection Rationale: Random Forest demonstrated higher recall (0.8929) and ROC-AUC (0.9470), making it the optimal model for clinical risk prediction where minimizing false negatives is critical.</w:t>
      </w:r>
    </w:p>
    <w:p>
      <w:pPr>
        <w:keepNext/>
        <w:spacing w:before="320" w:after="120"/>
      </w:pPr>
      <w:r>
        <w:rPr>
          <w:b/>
          <w:color w:val="1B365D"/>
          <w:sz w:val="30"/>
        </w:rPr>
        <w:t>4. CI/CD Pipeline &amp; Quality Assurance</w:t>
      </w:r>
    </w:p>
    <w:p>
      <w:pPr>
        <w:spacing w:before="0" w:after="120" w:line="276" w:lineRule="auto"/>
      </w:pPr>
      <w:r>
        <w:t>Continuous Integration is enforced through GitHub Actions (.github/workflows/ci_cd.yml). On every push or pull request to main, the runner executes:</w:t>
      </w:r>
    </w:p>
    <w:p>
      <w:pPr>
        <w:pStyle w:val="ListBullet"/>
        <w:spacing w:before="0" w:after="60" w:line="276" w:lineRule="auto"/>
      </w:pPr>
      <w:r>
        <w:rPr>
          <w:b/>
          <w:color w:val="1B365D"/>
        </w:rPr>
        <w:t xml:space="preserve">1. Flake8 Linting: </w:t>
      </w:r>
      <w:r>
        <w:t xml:space="preserve"> Code quality checks to prevent syntax errors and unreferenced variables.</w:t>
      </w:r>
    </w:p>
    <w:p>
      <w:pPr>
        <w:pStyle w:val="ListBullet"/>
        <w:spacing w:before="0" w:after="60" w:line="276" w:lineRule="auto"/>
      </w:pPr>
      <w:r>
        <w:rPr>
          <w:b/>
          <w:color w:val="1B365D"/>
        </w:rPr>
        <w:t xml:space="preserve">2. Model Training: </w:t>
      </w:r>
      <w:r>
        <w:t xml:space="preserve"> Retrains models and logs hyperparameter metrics to MLflow.</w:t>
      </w:r>
    </w:p>
    <w:p>
      <w:pPr>
        <w:pStyle w:val="ListBullet"/>
        <w:spacing w:before="0" w:after="60" w:line="276" w:lineRule="auto"/>
      </w:pPr>
      <w:r>
        <w:rPr>
          <w:b/>
          <w:color w:val="1B365D"/>
        </w:rPr>
        <w:t xml:space="preserve">3. Pytest Verification: </w:t>
      </w:r>
      <w:r>
        <w:t xml:space="preserve"> Executes unit tests in tests/ verify data processing and API schemas.</w:t>
      </w:r>
    </w:p>
    <w:p>
      <w:pPr>
        <w:pStyle w:val="ListBullet"/>
        <w:spacing w:before="0" w:after="60" w:line="276" w:lineRule="auto"/>
      </w:pPr>
      <w:r>
        <w:rPr>
          <w:b/>
          <w:color w:val="1B365D"/>
        </w:rPr>
        <w:t xml:space="preserve">4. Container Build: </w:t>
      </w:r>
      <w:r>
        <w:t xml:space="preserve"> Builds the Docker image to ensure containerization succeeds without error.</w:t>
      </w:r>
    </w:p>
    <w:p>
      <w:pPr>
        <w:keepNext/>
        <w:spacing w:before="320" w:after="120"/>
      </w:pPr>
      <w:r>
        <w:rPr>
          <w:b/>
          <w:color w:val="1B365D"/>
          <w:sz w:val="30"/>
        </w:rPr>
        <w:t>5. Containerization &amp; Kubernetes Orchestration</w:t>
      </w:r>
    </w:p>
    <w:p>
      <w:pPr>
        <w:spacing w:before="0" w:after="120" w:line="276" w:lineRule="auto"/>
      </w:pPr>
      <w:r>
        <w:t>The FastAPI application is packaged using Docker (python:3.10-slim) and deployed to Kubernetes using k8s/deployment.yaml and k8s/service.yaml.</w:t>
      </w:r>
    </w:p>
    <w:p>
      <w:pPr>
        <w:pStyle w:val="ListBullet"/>
        <w:spacing w:before="0" w:after="60" w:line="276" w:lineRule="auto"/>
      </w:pPr>
      <w:r>
        <w:rPr>
          <w:b/>
          <w:color w:val="1B365D"/>
        </w:rPr>
        <w:t xml:space="preserve">Deployment: </w:t>
      </w:r>
      <w:r>
        <w:t xml:space="preserve"> Configured with 2 replicas, memory/CPU resource requests and limits, plus liveness and readiness health probes.</w:t>
      </w:r>
    </w:p>
    <w:p>
      <w:pPr>
        <w:pStyle w:val="ListBullet"/>
        <w:spacing w:before="0" w:after="60" w:line="276" w:lineRule="auto"/>
      </w:pPr>
      <w:r>
        <w:rPr>
          <w:b/>
          <w:color w:val="1B365D"/>
        </w:rPr>
        <w:t xml:space="preserve">Service: </w:t>
      </w:r>
      <w:r>
        <w:t xml:space="preserve"> LoadBalancer service type mapping port 80 to container port 8000.</w:t>
      </w:r>
    </w:p>
    <w:p>
      <w:pPr>
        <w:keepNext/>
        <w:spacing w:before="320" w:after="120"/>
      </w:pPr>
      <w:r>
        <w:rPr>
          <w:b/>
          <w:color w:val="1B365D"/>
          <w:sz w:val="30"/>
        </w:rPr>
        <w:t>6. Observability &amp; Monitoring</w:t>
      </w:r>
    </w:p>
    <w:p>
      <w:pPr>
        <w:spacing w:before="0" w:after="120" w:line="276" w:lineRule="auto"/>
      </w:pPr>
      <w:r>
        <w:t>Real-time telemetry is exposed at the /metrics endpoint using prometheus_fastapi_instrumentator. Prometheus metrics track request counts (http_requests_total), latency distributions (http_request_duration_seconds), and response status codes.</w:t>
      </w:r>
    </w:p>
    <w:p>
      <w:pPr>
        <w:keepNext/>
        <w:spacing w:before="320" w:after="120"/>
      </w:pPr>
      <w:r>
        <w:rPr>
          <w:b/>
          <w:color w:val="1B365D"/>
          <w:sz w:val="30"/>
        </w:rPr>
        <w:t>7. API Verification &amp; Curl Outputs</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B365D"/>
              <w:bottom w:val="none"/>
              <w:right w:val="none"/>
            </w:tcBorders>
          </w:tcPr>
          <w:p>
            <w:pPr>
              <w:spacing w:before="80" w:after="80" w:line="240" w:lineRule="auto"/>
            </w:pPr>
            <w:r>
              <w:rPr>
                <w:rFonts w:ascii="Courier New" w:hAnsi="Courier New"/>
                <w:color w:val="282828"/>
                <w:sz w:val="19"/>
              </w:rPr>
              <w:t>$ curl -X POST "http://localhost:80/predict" \</w:t>
              <w:br/>
              <w:t xml:space="preserve">     -H "Content-Type: application/json" \</w:t>
              <w:br/>
              <w:t xml:space="preserve">     -d '{"age": 55, "sex": 1, "cp": 3, "trestbps": 130, "chol": 250, "fbs": 0, "restecg": 1, "thalach": 140, "exang": 0, "oldpeak": 1.2, "slope": 2, "ca": 0, "thal": 3}'</w:t>
              <w:br/>
              <w:br/>
              <w:t>{"prediction": 0, "probability": 0.19761012528139382, "risk_level": "Low"}</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